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0CDFF" w14:textId="77777777" w:rsidR="001B2109" w:rsidRPr="00021C07" w:rsidRDefault="001B2109" w:rsidP="001B2109">
      <w:pPr>
        <w:jc w:val="center"/>
        <w:rPr>
          <w:rFonts w:ascii="Arial" w:hAnsi="Arial" w:cs="Arial"/>
          <w:b/>
          <w:sz w:val="24"/>
          <w:szCs w:val="24"/>
          <w:u w:val="single"/>
        </w:rPr>
      </w:pPr>
      <w:r w:rsidRPr="00021C07">
        <w:rPr>
          <w:rFonts w:ascii="Arial" w:hAnsi="Arial" w:cs="Arial"/>
          <w:b/>
          <w:sz w:val="24"/>
          <w:szCs w:val="24"/>
          <w:u w:val="single"/>
        </w:rPr>
        <w:t>TEMPLE COURT CHAMBERS</w:t>
      </w:r>
    </w:p>
    <w:p w14:paraId="48AB86B4" w14:textId="77777777" w:rsidR="001B2109" w:rsidRPr="00021C07" w:rsidRDefault="001B2109" w:rsidP="001B2109">
      <w:pPr>
        <w:jc w:val="center"/>
        <w:rPr>
          <w:rFonts w:ascii="Arial" w:hAnsi="Arial" w:cs="Arial"/>
          <w:b/>
          <w:sz w:val="24"/>
          <w:szCs w:val="24"/>
          <w:u w:val="single"/>
        </w:rPr>
      </w:pPr>
      <w:r w:rsidRPr="00021C07">
        <w:rPr>
          <w:rFonts w:ascii="Arial" w:hAnsi="Arial" w:cs="Arial"/>
          <w:b/>
          <w:sz w:val="24"/>
          <w:szCs w:val="24"/>
          <w:u w:val="single"/>
        </w:rPr>
        <w:t>CLOSURE PROCEDURES GUIDANCE AND PLAN</w:t>
      </w:r>
    </w:p>
    <w:p w14:paraId="775B83C6" w14:textId="77777777" w:rsidR="001B2109" w:rsidRPr="00021C07" w:rsidRDefault="001B2109" w:rsidP="001B2109">
      <w:pPr>
        <w:jc w:val="center"/>
        <w:rPr>
          <w:rFonts w:ascii="Arial" w:hAnsi="Arial" w:cs="Arial"/>
          <w:b/>
          <w:sz w:val="24"/>
          <w:szCs w:val="24"/>
          <w:u w:val="single"/>
        </w:rPr>
      </w:pPr>
      <w:r w:rsidRPr="00021C07">
        <w:rPr>
          <w:rFonts w:ascii="Arial" w:hAnsi="Arial" w:cs="Arial"/>
          <w:b/>
          <w:sz w:val="24"/>
          <w:szCs w:val="24"/>
          <w:u w:val="single"/>
        </w:rPr>
        <w:t>(</w:t>
      </w:r>
      <w:proofErr w:type="gramStart"/>
      <w:r w:rsidRPr="00021C07">
        <w:rPr>
          <w:rFonts w:ascii="Arial" w:hAnsi="Arial" w:cs="Arial"/>
          <w:b/>
          <w:sz w:val="24"/>
          <w:szCs w:val="24"/>
          <w:u w:val="single"/>
        </w:rPr>
        <w:t>as</w:t>
      </w:r>
      <w:proofErr w:type="gramEnd"/>
      <w:r w:rsidRPr="00021C07">
        <w:rPr>
          <w:rFonts w:ascii="Arial" w:hAnsi="Arial" w:cs="Arial"/>
          <w:b/>
          <w:sz w:val="24"/>
          <w:szCs w:val="24"/>
          <w:u w:val="single"/>
        </w:rPr>
        <w:t xml:space="preserve"> amended on 1</w:t>
      </w:r>
      <w:r w:rsidRPr="00021C07">
        <w:rPr>
          <w:rFonts w:ascii="Arial" w:hAnsi="Arial" w:cs="Arial"/>
          <w:b/>
          <w:sz w:val="24"/>
          <w:szCs w:val="24"/>
          <w:u w:val="single"/>
          <w:vertAlign w:val="superscript"/>
        </w:rPr>
        <w:t>st</w:t>
      </w:r>
      <w:r w:rsidRPr="00021C07">
        <w:rPr>
          <w:rFonts w:ascii="Arial" w:hAnsi="Arial" w:cs="Arial"/>
          <w:b/>
          <w:sz w:val="24"/>
          <w:szCs w:val="24"/>
          <w:u w:val="single"/>
        </w:rPr>
        <w:t xml:space="preserve"> July 2022)</w:t>
      </w:r>
    </w:p>
    <w:p w14:paraId="0CDB41B6" w14:textId="77777777" w:rsidR="001B2109" w:rsidRPr="00021C07" w:rsidRDefault="001B2109" w:rsidP="001B2109">
      <w:pPr>
        <w:rPr>
          <w:rFonts w:ascii="Arial" w:hAnsi="Arial" w:cs="Arial"/>
          <w:sz w:val="24"/>
          <w:szCs w:val="24"/>
        </w:rPr>
      </w:pPr>
    </w:p>
    <w:p w14:paraId="5274A37B" w14:textId="77777777" w:rsidR="001B2109" w:rsidRPr="00021C07" w:rsidRDefault="001B2109" w:rsidP="001B2109">
      <w:pPr>
        <w:rPr>
          <w:rFonts w:ascii="Arial" w:hAnsi="Arial" w:cs="Arial"/>
          <w:b/>
          <w:sz w:val="24"/>
          <w:szCs w:val="24"/>
          <w:u w:val="single"/>
        </w:rPr>
      </w:pPr>
      <w:r w:rsidRPr="00021C07">
        <w:rPr>
          <w:rFonts w:ascii="Arial" w:hAnsi="Arial" w:cs="Arial"/>
          <w:b/>
          <w:sz w:val="24"/>
          <w:szCs w:val="24"/>
          <w:u w:val="single"/>
        </w:rPr>
        <w:t>Introduction</w:t>
      </w:r>
    </w:p>
    <w:p w14:paraId="5FB080A5" w14:textId="77777777" w:rsidR="001B2109" w:rsidRPr="00021C07" w:rsidRDefault="001B2109" w:rsidP="001B2109">
      <w:pPr>
        <w:rPr>
          <w:rFonts w:ascii="Arial" w:hAnsi="Arial" w:cs="Arial"/>
          <w:sz w:val="24"/>
          <w:szCs w:val="24"/>
        </w:rPr>
      </w:pPr>
      <w:r w:rsidRPr="00021C07">
        <w:rPr>
          <w:rFonts w:ascii="Arial" w:hAnsi="Arial" w:cs="Arial"/>
          <w:sz w:val="24"/>
          <w:szCs w:val="24"/>
        </w:rPr>
        <w:t>TCC believes that an effective closure plan should be in place to counter a possible closure scenario.</w:t>
      </w:r>
    </w:p>
    <w:p w14:paraId="1144276A" w14:textId="77777777" w:rsidR="001B2109" w:rsidRPr="00021C07" w:rsidRDefault="001B2109" w:rsidP="001B2109">
      <w:pPr>
        <w:rPr>
          <w:rFonts w:ascii="Arial" w:hAnsi="Arial" w:cs="Arial"/>
          <w:sz w:val="24"/>
          <w:szCs w:val="24"/>
        </w:rPr>
      </w:pPr>
      <w:r w:rsidRPr="00021C07">
        <w:rPr>
          <w:rFonts w:ascii="Arial" w:hAnsi="Arial" w:cs="Arial"/>
          <w:sz w:val="24"/>
          <w:szCs w:val="24"/>
        </w:rPr>
        <w:t xml:space="preserve">The </w:t>
      </w:r>
      <w:r>
        <w:rPr>
          <w:rFonts w:ascii="Arial" w:hAnsi="Arial" w:cs="Arial"/>
          <w:sz w:val="24"/>
          <w:szCs w:val="24"/>
        </w:rPr>
        <w:t>Head of Chambers</w:t>
      </w:r>
      <w:r w:rsidRPr="00021C07">
        <w:rPr>
          <w:rFonts w:ascii="Arial" w:hAnsi="Arial" w:cs="Arial"/>
          <w:sz w:val="24"/>
          <w:szCs w:val="24"/>
        </w:rPr>
        <w:t xml:space="preserve"> shall be the first port of call in the event of closure and shall be responsible for the efficient closure of chambers.</w:t>
      </w:r>
    </w:p>
    <w:p w14:paraId="7EA8CF71" w14:textId="77777777" w:rsidR="001B2109" w:rsidRPr="00021C07" w:rsidRDefault="001B2109" w:rsidP="001B2109">
      <w:pPr>
        <w:rPr>
          <w:rFonts w:ascii="Arial" w:hAnsi="Arial" w:cs="Arial"/>
          <w:sz w:val="24"/>
          <w:szCs w:val="24"/>
        </w:rPr>
      </w:pPr>
      <w:r w:rsidRPr="00021C07">
        <w:rPr>
          <w:rFonts w:ascii="Arial" w:hAnsi="Arial" w:cs="Arial"/>
          <w:sz w:val="24"/>
          <w:szCs w:val="24"/>
        </w:rPr>
        <w:t xml:space="preserve">Although at the date of closure the </w:t>
      </w:r>
      <w:r>
        <w:rPr>
          <w:rFonts w:ascii="Arial" w:hAnsi="Arial" w:cs="Arial"/>
          <w:sz w:val="24"/>
          <w:szCs w:val="24"/>
        </w:rPr>
        <w:t>Head of Chambers</w:t>
      </w:r>
      <w:r w:rsidRPr="00021C07">
        <w:rPr>
          <w:rFonts w:ascii="Arial" w:hAnsi="Arial" w:cs="Arial"/>
          <w:sz w:val="24"/>
          <w:szCs w:val="24"/>
        </w:rPr>
        <w:t xml:space="preserve"> shall cease to exist, </w:t>
      </w:r>
      <w:r>
        <w:rPr>
          <w:rFonts w:ascii="Arial" w:hAnsi="Arial" w:cs="Arial"/>
          <w:sz w:val="24"/>
          <w:szCs w:val="24"/>
        </w:rPr>
        <w:t>his</w:t>
      </w:r>
      <w:r w:rsidRPr="00021C07">
        <w:rPr>
          <w:rFonts w:ascii="Arial" w:hAnsi="Arial" w:cs="Arial"/>
          <w:sz w:val="24"/>
          <w:szCs w:val="24"/>
        </w:rPr>
        <w:t xml:space="preserve"> responsibilities shall continue following closure as </w:t>
      </w:r>
      <w:r>
        <w:rPr>
          <w:rFonts w:ascii="Arial" w:hAnsi="Arial" w:cs="Arial"/>
          <w:sz w:val="24"/>
          <w:szCs w:val="24"/>
        </w:rPr>
        <w:t xml:space="preserve">a </w:t>
      </w:r>
      <w:r w:rsidRPr="00021C07">
        <w:rPr>
          <w:rFonts w:ascii="Arial" w:hAnsi="Arial" w:cs="Arial"/>
          <w:sz w:val="24"/>
          <w:szCs w:val="24"/>
        </w:rPr>
        <w:t>point of contact.</w:t>
      </w:r>
    </w:p>
    <w:p w14:paraId="2D2B1C43" w14:textId="77777777" w:rsidR="001B2109" w:rsidRPr="00021C07" w:rsidRDefault="001B2109" w:rsidP="001B2109">
      <w:pPr>
        <w:rPr>
          <w:rFonts w:ascii="Arial" w:hAnsi="Arial" w:cs="Arial"/>
          <w:b/>
          <w:sz w:val="24"/>
          <w:szCs w:val="24"/>
          <w:u w:val="single"/>
        </w:rPr>
      </w:pPr>
      <w:r w:rsidRPr="00021C07">
        <w:rPr>
          <w:rFonts w:ascii="Arial" w:hAnsi="Arial" w:cs="Arial"/>
          <w:b/>
          <w:sz w:val="24"/>
          <w:szCs w:val="24"/>
          <w:u w:val="single"/>
        </w:rPr>
        <w:t>Accountants</w:t>
      </w:r>
    </w:p>
    <w:p w14:paraId="69E7F3B4" w14:textId="77777777" w:rsidR="001B2109" w:rsidRPr="00021C07" w:rsidRDefault="001B2109" w:rsidP="001B2109">
      <w:pPr>
        <w:rPr>
          <w:rFonts w:ascii="Arial" w:hAnsi="Arial" w:cs="Arial"/>
          <w:sz w:val="24"/>
          <w:szCs w:val="24"/>
        </w:rPr>
      </w:pPr>
      <w:r w:rsidRPr="00021C07">
        <w:rPr>
          <w:rFonts w:ascii="Arial" w:hAnsi="Arial" w:cs="Arial"/>
          <w:sz w:val="24"/>
          <w:szCs w:val="24"/>
        </w:rPr>
        <w:t xml:space="preserve">The </w:t>
      </w:r>
      <w:r>
        <w:rPr>
          <w:rFonts w:ascii="Arial" w:hAnsi="Arial" w:cs="Arial"/>
          <w:sz w:val="24"/>
          <w:szCs w:val="24"/>
        </w:rPr>
        <w:t>Head of Chambers</w:t>
      </w:r>
      <w:r w:rsidRPr="00021C07">
        <w:rPr>
          <w:rFonts w:ascii="Arial" w:hAnsi="Arial" w:cs="Arial"/>
          <w:sz w:val="24"/>
          <w:szCs w:val="24"/>
        </w:rPr>
        <w:t xml:space="preserve"> must instruct the accountants to bring all accounts up to date and to submit to the </w:t>
      </w:r>
      <w:r>
        <w:rPr>
          <w:rFonts w:ascii="Arial" w:hAnsi="Arial" w:cs="Arial"/>
          <w:sz w:val="24"/>
          <w:szCs w:val="24"/>
        </w:rPr>
        <w:t>Head of Chambers</w:t>
      </w:r>
      <w:r w:rsidRPr="00021C07">
        <w:rPr>
          <w:rFonts w:ascii="Arial" w:hAnsi="Arial" w:cs="Arial"/>
          <w:sz w:val="24"/>
          <w:szCs w:val="24"/>
        </w:rPr>
        <w:t xml:space="preserve"> within </w:t>
      </w:r>
      <w:proofErr w:type="gramStart"/>
      <w:r w:rsidRPr="00021C07">
        <w:rPr>
          <w:rFonts w:ascii="Arial" w:hAnsi="Arial" w:cs="Arial"/>
          <w:sz w:val="24"/>
          <w:szCs w:val="24"/>
        </w:rPr>
        <w:t>a period of time</w:t>
      </w:r>
      <w:proofErr w:type="gramEnd"/>
      <w:r w:rsidRPr="00021C07">
        <w:rPr>
          <w:rFonts w:ascii="Arial" w:hAnsi="Arial" w:cs="Arial"/>
          <w:sz w:val="24"/>
          <w:szCs w:val="24"/>
        </w:rPr>
        <w:t xml:space="preserve"> as instructed. Thereafter the services of the accountants should be determinate</w:t>
      </w:r>
    </w:p>
    <w:p w14:paraId="027D3788" w14:textId="77777777" w:rsidR="001B2109" w:rsidRPr="00021C07" w:rsidRDefault="001B2109" w:rsidP="001B2109">
      <w:pPr>
        <w:rPr>
          <w:rFonts w:ascii="Arial" w:hAnsi="Arial" w:cs="Arial"/>
          <w:b/>
          <w:sz w:val="24"/>
          <w:szCs w:val="24"/>
          <w:u w:val="single"/>
        </w:rPr>
      </w:pPr>
      <w:r w:rsidRPr="00021C07">
        <w:rPr>
          <w:rFonts w:ascii="Arial" w:hAnsi="Arial" w:cs="Arial"/>
          <w:b/>
          <w:sz w:val="24"/>
          <w:szCs w:val="24"/>
          <w:u w:val="single"/>
        </w:rPr>
        <w:t>Notification to all persons and organisations</w:t>
      </w:r>
    </w:p>
    <w:p w14:paraId="18C8088B" w14:textId="77777777" w:rsidR="001B2109" w:rsidRPr="00021C07" w:rsidRDefault="001B2109" w:rsidP="001B2109">
      <w:pPr>
        <w:rPr>
          <w:rFonts w:ascii="Arial" w:hAnsi="Arial" w:cs="Arial"/>
          <w:sz w:val="24"/>
          <w:szCs w:val="24"/>
        </w:rPr>
      </w:pPr>
      <w:r w:rsidRPr="00021C07">
        <w:rPr>
          <w:rFonts w:ascii="Arial" w:hAnsi="Arial" w:cs="Arial"/>
          <w:sz w:val="24"/>
          <w:szCs w:val="24"/>
        </w:rPr>
        <w:t xml:space="preserve">All persons and organisations who provided services to chambers must be informed of the closure date by the </w:t>
      </w:r>
      <w:r>
        <w:rPr>
          <w:rFonts w:ascii="Arial" w:hAnsi="Arial" w:cs="Arial"/>
          <w:sz w:val="24"/>
          <w:szCs w:val="24"/>
        </w:rPr>
        <w:t xml:space="preserve">Head of Chambers </w:t>
      </w:r>
      <w:r w:rsidRPr="00021C07">
        <w:rPr>
          <w:rFonts w:ascii="Arial" w:hAnsi="Arial" w:cs="Arial"/>
          <w:sz w:val="24"/>
          <w:szCs w:val="24"/>
        </w:rPr>
        <w:t>promptly.</w:t>
      </w:r>
    </w:p>
    <w:p w14:paraId="4CFC6F73" w14:textId="77777777" w:rsidR="001B2109" w:rsidRPr="00021C07" w:rsidRDefault="001B2109" w:rsidP="001B2109">
      <w:pPr>
        <w:rPr>
          <w:rFonts w:ascii="Arial" w:hAnsi="Arial" w:cs="Arial"/>
          <w:b/>
          <w:sz w:val="24"/>
          <w:szCs w:val="24"/>
          <w:u w:val="single"/>
        </w:rPr>
      </w:pPr>
      <w:r w:rsidRPr="00021C07">
        <w:rPr>
          <w:rFonts w:ascii="Arial" w:hAnsi="Arial" w:cs="Arial"/>
          <w:b/>
          <w:sz w:val="24"/>
          <w:szCs w:val="24"/>
          <w:u w:val="single"/>
        </w:rPr>
        <w:t>Outstanding Bills</w:t>
      </w:r>
    </w:p>
    <w:p w14:paraId="0B4C6D0A" w14:textId="77777777" w:rsidR="001B2109" w:rsidRPr="00021C07" w:rsidRDefault="001B2109" w:rsidP="001B2109">
      <w:pPr>
        <w:rPr>
          <w:rFonts w:ascii="Arial" w:hAnsi="Arial" w:cs="Arial"/>
          <w:sz w:val="24"/>
          <w:szCs w:val="24"/>
        </w:rPr>
      </w:pPr>
      <w:r w:rsidRPr="00021C07">
        <w:rPr>
          <w:rFonts w:ascii="Arial" w:hAnsi="Arial" w:cs="Arial"/>
          <w:sz w:val="24"/>
          <w:szCs w:val="24"/>
        </w:rPr>
        <w:t xml:space="preserve">MR </w:t>
      </w:r>
      <w:r>
        <w:rPr>
          <w:rFonts w:ascii="Arial" w:hAnsi="Arial" w:cs="Arial"/>
          <w:sz w:val="24"/>
          <w:szCs w:val="24"/>
        </w:rPr>
        <w:t>CHARLES MANNAN</w:t>
      </w:r>
      <w:r w:rsidRPr="00021C07">
        <w:rPr>
          <w:rFonts w:ascii="Arial" w:hAnsi="Arial" w:cs="Arial"/>
          <w:sz w:val="24"/>
          <w:szCs w:val="24"/>
        </w:rPr>
        <w:t xml:space="preserve"> must ensure that all bills are settled by the closure date or at subsequent dates if agreed with creditors. A full inventory of all outstanding bills should be made by MR </w:t>
      </w:r>
      <w:r>
        <w:rPr>
          <w:rFonts w:ascii="Arial" w:hAnsi="Arial" w:cs="Arial"/>
          <w:sz w:val="24"/>
          <w:szCs w:val="24"/>
        </w:rPr>
        <w:t>CHARLES MANNAN</w:t>
      </w:r>
      <w:r w:rsidRPr="00021C07">
        <w:rPr>
          <w:rFonts w:ascii="Arial" w:hAnsi="Arial" w:cs="Arial"/>
          <w:sz w:val="24"/>
          <w:szCs w:val="24"/>
        </w:rPr>
        <w:t xml:space="preserve"> on the date of closure.</w:t>
      </w:r>
    </w:p>
    <w:p w14:paraId="0DFFDF72" w14:textId="77777777" w:rsidR="001B2109" w:rsidRPr="00021C07" w:rsidRDefault="001B2109" w:rsidP="001B2109">
      <w:pPr>
        <w:rPr>
          <w:rFonts w:ascii="Arial" w:hAnsi="Arial" w:cs="Arial"/>
          <w:b/>
          <w:sz w:val="24"/>
          <w:szCs w:val="24"/>
          <w:u w:val="single"/>
        </w:rPr>
      </w:pPr>
      <w:r w:rsidRPr="00021C07">
        <w:rPr>
          <w:rFonts w:ascii="Arial" w:hAnsi="Arial" w:cs="Arial"/>
          <w:b/>
          <w:sz w:val="24"/>
          <w:szCs w:val="24"/>
          <w:u w:val="single"/>
        </w:rPr>
        <w:t>Servers/Emails</w:t>
      </w:r>
    </w:p>
    <w:p w14:paraId="2C2BBE7B" w14:textId="77777777" w:rsidR="001B2109" w:rsidRPr="00021C07" w:rsidRDefault="001B2109" w:rsidP="001B2109">
      <w:pPr>
        <w:rPr>
          <w:rFonts w:ascii="Arial" w:hAnsi="Arial" w:cs="Arial"/>
          <w:sz w:val="24"/>
          <w:szCs w:val="24"/>
        </w:rPr>
      </w:pPr>
      <w:r w:rsidRPr="00021C07">
        <w:rPr>
          <w:rFonts w:ascii="Arial" w:hAnsi="Arial" w:cs="Arial"/>
          <w:sz w:val="24"/>
          <w:szCs w:val="24"/>
        </w:rPr>
        <w:t xml:space="preserve">MR </w:t>
      </w:r>
      <w:r>
        <w:rPr>
          <w:rFonts w:ascii="Arial" w:hAnsi="Arial" w:cs="Arial"/>
          <w:sz w:val="24"/>
          <w:szCs w:val="24"/>
        </w:rPr>
        <w:t>MANNAN</w:t>
      </w:r>
      <w:r w:rsidRPr="00021C07">
        <w:rPr>
          <w:rFonts w:ascii="Arial" w:hAnsi="Arial" w:cs="Arial"/>
          <w:sz w:val="24"/>
          <w:szCs w:val="24"/>
        </w:rPr>
        <w:t xml:space="preserve"> should instruct whichever company is in place, to shut down the diary case management system and to only grant future access to the </w:t>
      </w:r>
      <w:r>
        <w:rPr>
          <w:rFonts w:ascii="Arial" w:hAnsi="Arial" w:cs="Arial"/>
          <w:sz w:val="24"/>
          <w:szCs w:val="24"/>
        </w:rPr>
        <w:t>Head of Chambers</w:t>
      </w:r>
      <w:r w:rsidRPr="00021C07">
        <w:rPr>
          <w:rFonts w:ascii="Arial" w:hAnsi="Arial" w:cs="Arial"/>
          <w:sz w:val="24"/>
          <w:szCs w:val="24"/>
        </w:rPr>
        <w:t>.</w:t>
      </w:r>
    </w:p>
    <w:p w14:paraId="253732A7" w14:textId="77777777" w:rsidR="001B2109" w:rsidRPr="00021C07" w:rsidRDefault="001B2109" w:rsidP="001B2109">
      <w:pPr>
        <w:rPr>
          <w:rFonts w:ascii="Arial" w:hAnsi="Arial" w:cs="Arial"/>
          <w:b/>
          <w:sz w:val="24"/>
          <w:szCs w:val="24"/>
          <w:u w:val="single"/>
        </w:rPr>
      </w:pPr>
      <w:r w:rsidRPr="00021C07">
        <w:rPr>
          <w:rFonts w:ascii="Arial" w:hAnsi="Arial" w:cs="Arial"/>
          <w:b/>
          <w:sz w:val="24"/>
          <w:szCs w:val="24"/>
          <w:u w:val="single"/>
        </w:rPr>
        <w:t>Signposting</w:t>
      </w:r>
    </w:p>
    <w:p w14:paraId="519EEC76" w14:textId="77777777" w:rsidR="001B2109" w:rsidRPr="00021C07" w:rsidRDefault="001B2109" w:rsidP="001B2109">
      <w:pPr>
        <w:rPr>
          <w:rFonts w:ascii="Arial" w:hAnsi="Arial" w:cs="Arial"/>
          <w:sz w:val="24"/>
          <w:szCs w:val="24"/>
        </w:rPr>
      </w:pPr>
      <w:r w:rsidRPr="00021C07">
        <w:rPr>
          <w:rFonts w:ascii="Arial" w:hAnsi="Arial" w:cs="Arial"/>
          <w:sz w:val="24"/>
          <w:szCs w:val="24"/>
        </w:rPr>
        <w:t xml:space="preserve">TCC’s website should direct members of the public to the ‘Barrister’s Register as this will enable clients to find where their Barristers have moved. In </w:t>
      </w:r>
      <w:proofErr w:type="gramStart"/>
      <w:r w:rsidRPr="00021C07">
        <w:rPr>
          <w:rFonts w:ascii="Arial" w:hAnsi="Arial" w:cs="Arial"/>
          <w:sz w:val="24"/>
          <w:szCs w:val="24"/>
        </w:rPr>
        <w:t>addition</w:t>
      </w:r>
      <w:proofErr w:type="gramEnd"/>
      <w:r w:rsidRPr="00021C07">
        <w:rPr>
          <w:rFonts w:ascii="Arial" w:hAnsi="Arial" w:cs="Arial"/>
          <w:sz w:val="24"/>
          <w:szCs w:val="24"/>
        </w:rPr>
        <w:t xml:space="preserve"> an emergency contact number and email address should be provided, which should be that of MR </w:t>
      </w:r>
      <w:r>
        <w:rPr>
          <w:rFonts w:ascii="Arial" w:hAnsi="Arial" w:cs="Arial"/>
          <w:sz w:val="24"/>
          <w:szCs w:val="24"/>
        </w:rPr>
        <w:t>MANNAN</w:t>
      </w:r>
      <w:r w:rsidRPr="00021C07">
        <w:rPr>
          <w:rFonts w:ascii="Arial" w:hAnsi="Arial" w:cs="Arial"/>
          <w:sz w:val="24"/>
          <w:szCs w:val="24"/>
        </w:rPr>
        <w:t xml:space="preserve"> at the time of closure. The website should clearly set out the date of closure and who should </w:t>
      </w:r>
      <w:r>
        <w:rPr>
          <w:rFonts w:ascii="Arial" w:hAnsi="Arial" w:cs="Arial"/>
          <w:sz w:val="24"/>
          <w:szCs w:val="24"/>
        </w:rPr>
        <w:t xml:space="preserve">be </w:t>
      </w:r>
      <w:r w:rsidRPr="00021C07">
        <w:rPr>
          <w:rFonts w:ascii="Arial" w:hAnsi="Arial" w:cs="Arial"/>
          <w:sz w:val="24"/>
          <w:szCs w:val="24"/>
        </w:rPr>
        <w:t>contact</w:t>
      </w:r>
      <w:r>
        <w:rPr>
          <w:rFonts w:ascii="Arial" w:hAnsi="Arial" w:cs="Arial"/>
          <w:sz w:val="24"/>
          <w:szCs w:val="24"/>
        </w:rPr>
        <w:t>ed</w:t>
      </w:r>
      <w:r w:rsidRPr="00021C07">
        <w:rPr>
          <w:rFonts w:ascii="Arial" w:hAnsi="Arial" w:cs="Arial"/>
          <w:sz w:val="24"/>
          <w:szCs w:val="24"/>
        </w:rPr>
        <w:t xml:space="preserve"> in the event of further queries.</w:t>
      </w:r>
    </w:p>
    <w:p w14:paraId="58E242C2" w14:textId="77777777" w:rsidR="001B2109" w:rsidRPr="00021C07" w:rsidRDefault="001B2109" w:rsidP="001B2109">
      <w:pPr>
        <w:rPr>
          <w:rFonts w:ascii="Arial" w:hAnsi="Arial" w:cs="Arial"/>
          <w:b/>
          <w:sz w:val="24"/>
          <w:szCs w:val="24"/>
          <w:u w:val="single"/>
        </w:rPr>
      </w:pPr>
      <w:r w:rsidRPr="00021C07">
        <w:rPr>
          <w:rFonts w:ascii="Arial" w:hAnsi="Arial" w:cs="Arial"/>
          <w:b/>
          <w:sz w:val="24"/>
          <w:szCs w:val="24"/>
          <w:u w:val="single"/>
        </w:rPr>
        <w:t>Responsibilities of Individual Members</w:t>
      </w:r>
    </w:p>
    <w:p w14:paraId="7B27E8C9" w14:textId="77777777" w:rsidR="001B2109" w:rsidRPr="00021C07" w:rsidRDefault="001B2109" w:rsidP="001B2109">
      <w:pPr>
        <w:rPr>
          <w:rFonts w:ascii="Arial" w:hAnsi="Arial" w:cs="Arial"/>
          <w:sz w:val="24"/>
          <w:szCs w:val="24"/>
        </w:rPr>
      </w:pPr>
      <w:r w:rsidRPr="00021C07">
        <w:rPr>
          <w:rFonts w:ascii="Arial" w:hAnsi="Arial" w:cs="Arial"/>
          <w:sz w:val="24"/>
          <w:szCs w:val="24"/>
        </w:rPr>
        <w:lastRenderedPageBreak/>
        <w:t>All individual members must ensure that there lay and professional clients are informed promptly of the date of closure of chambers and whether they or alternative barristers shall be responsible for the future conduct of their cases. All papers received from solicitors must be returned to solicitors unless instructed to retain them and all papers received from direct access clients must be returned unless instructed to retain them.</w:t>
      </w:r>
    </w:p>
    <w:p w14:paraId="451A5ED4" w14:textId="77777777" w:rsidR="001B2109" w:rsidRPr="00021C07" w:rsidRDefault="001B2109" w:rsidP="001B2109">
      <w:pPr>
        <w:rPr>
          <w:rFonts w:ascii="Arial" w:hAnsi="Arial" w:cs="Arial"/>
          <w:sz w:val="24"/>
          <w:szCs w:val="24"/>
        </w:rPr>
      </w:pPr>
      <w:r w:rsidRPr="00021C07">
        <w:rPr>
          <w:rFonts w:ascii="Arial" w:hAnsi="Arial" w:cs="Arial"/>
          <w:sz w:val="24"/>
          <w:szCs w:val="24"/>
        </w:rPr>
        <w:t>All records must be kept for a period of 6 years.</w:t>
      </w:r>
    </w:p>
    <w:p w14:paraId="1FB4D5F1" w14:textId="77777777" w:rsidR="001B2109" w:rsidRPr="00021C07" w:rsidRDefault="001B2109" w:rsidP="001B2109">
      <w:pPr>
        <w:rPr>
          <w:rFonts w:ascii="Arial" w:hAnsi="Arial" w:cs="Arial"/>
          <w:b/>
          <w:sz w:val="24"/>
          <w:szCs w:val="24"/>
          <w:u w:val="single"/>
        </w:rPr>
      </w:pPr>
      <w:r w:rsidRPr="00021C07">
        <w:rPr>
          <w:rFonts w:ascii="Arial" w:hAnsi="Arial" w:cs="Arial"/>
          <w:b/>
          <w:sz w:val="24"/>
          <w:szCs w:val="24"/>
          <w:u w:val="single"/>
        </w:rPr>
        <w:t>Pupillages</w:t>
      </w:r>
    </w:p>
    <w:p w14:paraId="778039BE" w14:textId="77777777" w:rsidR="001B2109" w:rsidRPr="00021C07" w:rsidRDefault="001B2109" w:rsidP="001B2109">
      <w:pPr>
        <w:rPr>
          <w:rFonts w:ascii="Arial" w:hAnsi="Arial" w:cs="Arial"/>
          <w:sz w:val="24"/>
          <w:szCs w:val="24"/>
        </w:rPr>
      </w:pPr>
      <w:r w:rsidRPr="00021C07">
        <w:rPr>
          <w:rFonts w:ascii="Arial" w:hAnsi="Arial" w:cs="Arial"/>
          <w:sz w:val="24"/>
          <w:szCs w:val="24"/>
        </w:rPr>
        <w:t xml:space="preserve">The </w:t>
      </w:r>
      <w:r>
        <w:rPr>
          <w:rFonts w:ascii="Arial" w:hAnsi="Arial" w:cs="Arial"/>
          <w:sz w:val="24"/>
          <w:szCs w:val="24"/>
        </w:rPr>
        <w:t>Head of Chambers</w:t>
      </w:r>
      <w:r w:rsidRPr="00021C07">
        <w:rPr>
          <w:rFonts w:ascii="Arial" w:hAnsi="Arial" w:cs="Arial"/>
          <w:sz w:val="24"/>
          <w:szCs w:val="24"/>
        </w:rPr>
        <w:t xml:space="preserve"> must ensure that all pupils are notified </w:t>
      </w:r>
      <w:proofErr w:type="gramStart"/>
      <w:r w:rsidRPr="00021C07">
        <w:rPr>
          <w:rFonts w:ascii="Arial" w:hAnsi="Arial" w:cs="Arial"/>
          <w:sz w:val="24"/>
          <w:szCs w:val="24"/>
        </w:rPr>
        <w:t>promptly</w:t>
      </w:r>
      <w:proofErr w:type="gramEnd"/>
      <w:r w:rsidRPr="00021C07">
        <w:rPr>
          <w:rFonts w:ascii="Arial" w:hAnsi="Arial" w:cs="Arial"/>
          <w:sz w:val="24"/>
          <w:szCs w:val="24"/>
        </w:rPr>
        <w:t xml:space="preserve"> and alternative arrangements are made for the continuity of their pupillages.</w:t>
      </w:r>
    </w:p>
    <w:p w14:paraId="0D341AE6" w14:textId="77777777" w:rsidR="001B2109" w:rsidRPr="00021C07" w:rsidRDefault="001B2109" w:rsidP="001B2109">
      <w:pPr>
        <w:rPr>
          <w:rFonts w:ascii="Arial" w:hAnsi="Arial" w:cs="Arial"/>
          <w:b/>
          <w:sz w:val="24"/>
          <w:szCs w:val="24"/>
          <w:u w:val="single"/>
        </w:rPr>
      </w:pPr>
      <w:r w:rsidRPr="00021C07">
        <w:rPr>
          <w:rFonts w:ascii="Arial" w:hAnsi="Arial" w:cs="Arial"/>
          <w:b/>
          <w:sz w:val="24"/>
          <w:szCs w:val="24"/>
          <w:u w:val="single"/>
        </w:rPr>
        <w:t>Ongoing Complaints</w:t>
      </w:r>
    </w:p>
    <w:p w14:paraId="22F89A2F" w14:textId="77777777" w:rsidR="001B2109" w:rsidRPr="00021C07" w:rsidRDefault="001B2109" w:rsidP="001B2109">
      <w:pPr>
        <w:rPr>
          <w:rFonts w:ascii="Arial" w:hAnsi="Arial" w:cs="Arial"/>
          <w:sz w:val="24"/>
          <w:szCs w:val="24"/>
        </w:rPr>
      </w:pPr>
      <w:r w:rsidRPr="00021C07">
        <w:rPr>
          <w:rFonts w:ascii="Arial" w:hAnsi="Arial" w:cs="Arial"/>
          <w:sz w:val="24"/>
          <w:szCs w:val="24"/>
        </w:rPr>
        <w:t xml:space="preserve">In all such cases the </w:t>
      </w:r>
      <w:r>
        <w:rPr>
          <w:rFonts w:ascii="Arial" w:hAnsi="Arial" w:cs="Arial"/>
          <w:sz w:val="24"/>
          <w:szCs w:val="24"/>
        </w:rPr>
        <w:t>Head of Chambers</w:t>
      </w:r>
      <w:r w:rsidRPr="00021C07">
        <w:rPr>
          <w:rFonts w:ascii="Arial" w:hAnsi="Arial" w:cs="Arial"/>
          <w:sz w:val="24"/>
          <w:szCs w:val="24"/>
        </w:rPr>
        <w:t xml:space="preserve"> must notify each complainant of the date of closure </w:t>
      </w:r>
      <w:r>
        <w:rPr>
          <w:rFonts w:ascii="Arial" w:hAnsi="Arial" w:cs="Arial"/>
          <w:sz w:val="24"/>
          <w:szCs w:val="24"/>
        </w:rPr>
        <w:t xml:space="preserve">and </w:t>
      </w:r>
      <w:r w:rsidRPr="00021C07">
        <w:rPr>
          <w:rFonts w:ascii="Arial" w:hAnsi="Arial" w:cs="Arial"/>
          <w:sz w:val="24"/>
          <w:szCs w:val="24"/>
        </w:rPr>
        <w:t>what next steps will be taken in respect of the complaint.</w:t>
      </w:r>
    </w:p>
    <w:p w14:paraId="363FD27E" w14:textId="77777777" w:rsidR="001B2109" w:rsidRPr="00021C07" w:rsidRDefault="001B2109" w:rsidP="001B2109">
      <w:pPr>
        <w:rPr>
          <w:rFonts w:ascii="Arial" w:hAnsi="Arial" w:cs="Arial"/>
          <w:b/>
          <w:sz w:val="24"/>
          <w:szCs w:val="24"/>
          <w:u w:val="single"/>
        </w:rPr>
      </w:pPr>
      <w:r w:rsidRPr="00021C07">
        <w:rPr>
          <w:rFonts w:ascii="Arial" w:hAnsi="Arial" w:cs="Arial"/>
          <w:b/>
          <w:sz w:val="24"/>
          <w:szCs w:val="24"/>
          <w:u w:val="single"/>
        </w:rPr>
        <w:t>Files Within Chambers</w:t>
      </w:r>
    </w:p>
    <w:p w14:paraId="497B084F" w14:textId="77777777" w:rsidR="001B2109" w:rsidRPr="00021C07" w:rsidRDefault="001B2109" w:rsidP="001B2109">
      <w:pPr>
        <w:rPr>
          <w:rFonts w:ascii="Arial" w:hAnsi="Arial" w:cs="Arial"/>
          <w:sz w:val="24"/>
          <w:szCs w:val="24"/>
        </w:rPr>
      </w:pPr>
      <w:r w:rsidRPr="00021C07">
        <w:rPr>
          <w:rFonts w:ascii="Arial" w:hAnsi="Arial" w:cs="Arial"/>
          <w:sz w:val="24"/>
          <w:szCs w:val="24"/>
        </w:rPr>
        <w:t>All files within chambers must be stored securely for a period of 6 years from the date of closure and thereafter destroyed.</w:t>
      </w:r>
    </w:p>
    <w:p w14:paraId="0FFAA50E" w14:textId="77777777" w:rsidR="001B2109" w:rsidRPr="00021C07" w:rsidRDefault="001B2109" w:rsidP="001B2109">
      <w:pPr>
        <w:rPr>
          <w:rFonts w:ascii="Arial" w:hAnsi="Arial" w:cs="Arial"/>
          <w:b/>
          <w:sz w:val="24"/>
          <w:szCs w:val="24"/>
          <w:u w:val="single"/>
        </w:rPr>
      </w:pPr>
      <w:r w:rsidRPr="00021C07">
        <w:rPr>
          <w:rFonts w:ascii="Arial" w:hAnsi="Arial" w:cs="Arial"/>
          <w:b/>
          <w:sz w:val="24"/>
          <w:szCs w:val="24"/>
          <w:u w:val="single"/>
        </w:rPr>
        <w:t>BSB Notification</w:t>
      </w:r>
    </w:p>
    <w:p w14:paraId="1D9AC236" w14:textId="77777777" w:rsidR="001B2109" w:rsidRPr="00021C07" w:rsidRDefault="001B2109" w:rsidP="001B2109">
      <w:pPr>
        <w:rPr>
          <w:rFonts w:ascii="Arial" w:hAnsi="Arial" w:cs="Arial"/>
          <w:sz w:val="24"/>
          <w:szCs w:val="24"/>
        </w:rPr>
      </w:pPr>
      <w:r w:rsidRPr="00021C07">
        <w:rPr>
          <w:rFonts w:ascii="Arial" w:hAnsi="Arial" w:cs="Arial"/>
          <w:sz w:val="24"/>
          <w:szCs w:val="24"/>
        </w:rPr>
        <w:t xml:space="preserve">The BSB Supervision Team must be notified at the earliest possible opportunity by the </w:t>
      </w:r>
      <w:r>
        <w:rPr>
          <w:rFonts w:ascii="Arial" w:hAnsi="Arial" w:cs="Arial"/>
          <w:sz w:val="24"/>
          <w:szCs w:val="24"/>
        </w:rPr>
        <w:t>Head of Chambers</w:t>
      </w:r>
      <w:r w:rsidRPr="00021C07">
        <w:rPr>
          <w:rFonts w:ascii="Arial" w:hAnsi="Arial" w:cs="Arial"/>
          <w:sz w:val="24"/>
          <w:szCs w:val="24"/>
        </w:rPr>
        <w:t xml:space="preserve"> of any proposed closure and to seek advice.</w:t>
      </w:r>
    </w:p>
    <w:p w14:paraId="551946F7" w14:textId="77777777" w:rsidR="001B2109" w:rsidRPr="00021C07" w:rsidRDefault="001B2109" w:rsidP="001B2109">
      <w:pPr>
        <w:rPr>
          <w:rFonts w:ascii="Arial" w:hAnsi="Arial" w:cs="Arial"/>
          <w:b/>
          <w:sz w:val="24"/>
          <w:szCs w:val="24"/>
          <w:u w:val="single"/>
        </w:rPr>
      </w:pPr>
      <w:r w:rsidRPr="00021C07">
        <w:rPr>
          <w:rFonts w:ascii="Arial" w:hAnsi="Arial" w:cs="Arial"/>
          <w:b/>
          <w:sz w:val="24"/>
          <w:szCs w:val="24"/>
          <w:u w:val="single"/>
        </w:rPr>
        <w:t>Conclusion</w:t>
      </w:r>
    </w:p>
    <w:p w14:paraId="45C45828" w14:textId="77777777" w:rsidR="001B2109" w:rsidRPr="00021C07" w:rsidRDefault="001B2109" w:rsidP="001B2109">
      <w:pPr>
        <w:rPr>
          <w:rFonts w:ascii="Arial" w:hAnsi="Arial" w:cs="Arial"/>
          <w:sz w:val="24"/>
          <w:szCs w:val="24"/>
        </w:rPr>
      </w:pPr>
      <w:r w:rsidRPr="00021C07">
        <w:rPr>
          <w:rFonts w:ascii="Arial" w:hAnsi="Arial" w:cs="Arial"/>
          <w:sz w:val="24"/>
          <w:szCs w:val="24"/>
        </w:rPr>
        <w:t xml:space="preserve">The </w:t>
      </w:r>
      <w:r>
        <w:rPr>
          <w:rFonts w:ascii="Arial" w:hAnsi="Arial" w:cs="Arial"/>
          <w:sz w:val="24"/>
          <w:szCs w:val="24"/>
        </w:rPr>
        <w:t xml:space="preserve">Head of Chambers </w:t>
      </w:r>
      <w:r w:rsidRPr="00021C07">
        <w:rPr>
          <w:rFonts w:ascii="Arial" w:hAnsi="Arial" w:cs="Arial"/>
          <w:sz w:val="24"/>
          <w:szCs w:val="24"/>
        </w:rPr>
        <w:t xml:space="preserve">shall </w:t>
      </w:r>
      <w:r>
        <w:rPr>
          <w:rFonts w:ascii="Arial" w:hAnsi="Arial" w:cs="Arial"/>
          <w:sz w:val="24"/>
          <w:szCs w:val="24"/>
        </w:rPr>
        <w:t>annually</w:t>
      </w:r>
      <w:r w:rsidRPr="00021C07">
        <w:rPr>
          <w:rFonts w:ascii="Arial" w:hAnsi="Arial" w:cs="Arial"/>
          <w:sz w:val="24"/>
          <w:szCs w:val="24"/>
        </w:rPr>
        <w:t xml:space="preserve"> review this closure plan and issue any guidance and make any amendments as are necessary if the list above is not exhaustive.</w:t>
      </w:r>
    </w:p>
    <w:p w14:paraId="6A21382C" w14:textId="77777777" w:rsidR="00236E65" w:rsidRDefault="00236E65"/>
    <w:sectPr w:rsidR="00236E65" w:rsidSect="00B25027">
      <w:footerReference w:type="default" r:id="rI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114145"/>
      <w:docPartObj>
        <w:docPartGallery w:val="Page Numbers (Bottom of Page)"/>
        <w:docPartUnique/>
      </w:docPartObj>
    </w:sdtPr>
    <w:sdtEndPr>
      <w:rPr>
        <w:noProof/>
      </w:rPr>
    </w:sdtEndPr>
    <w:sdtContent>
      <w:p w14:paraId="1876DBFD" w14:textId="77777777" w:rsidR="00021C07" w:rsidRDefault="001B21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E22A24" w14:textId="77777777" w:rsidR="00021C07" w:rsidRDefault="001B210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109"/>
    <w:rsid w:val="001B2109"/>
    <w:rsid w:val="00236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06E14"/>
  <w15:chartTrackingRefBased/>
  <w15:docId w15:val="{323E4733-9C89-43DC-9483-D3BD9508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10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B2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Mannan</dc:creator>
  <cp:keywords/>
  <dc:description/>
  <cp:lastModifiedBy>Charles Mannan</cp:lastModifiedBy>
  <cp:revision>1</cp:revision>
  <dcterms:created xsi:type="dcterms:W3CDTF">2022-12-29T11:22:00Z</dcterms:created>
  <dcterms:modified xsi:type="dcterms:W3CDTF">2022-12-29T11:23:00Z</dcterms:modified>
</cp:coreProperties>
</file>