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244E" w14:textId="77777777" w:rsidR="006C5C19" w:rsidRDefault="006C5C19" w:rsidP="006C5C19">
      <w:pPr>
        <w:jc w:val="center"/>
        <w:rPr>
          <w:b/>
          <w:sz w:val="24"/>
          <w:szCs w:val="24"/>
          <w:u w:val="single"/>
        </w:rPr>
      </w:pPr>
      <w:bookmarkStart w:id="0" w:name="_Toc61232856"/>
      <w:bookmarkStart w:id="1" w:name="_Toc61237706"/>
      <w:bookmarkStart w:id="2" w:name="_Toc61489852"/>
      <w:bookmarkStart w:id="3" w:name="_Toc176060723"/>
      <w:r w:rsidRPr="00934DCE">
        <w:rPr>
          <w:b/>
          <w:sz w:val="24"/>
          <w:szCs w:val="24"/>
          <w:u w:val="single"/>
        </w:rPr>
        <w:t xml:space="preserve">Temple Court Chambers </w:t>
      </w:r>
    </w:p>
    <w:p w14:paraId="72DFBACB" w14:textId="77777777" w:rsidR="006C5C19" w:rsidRDefault="006C5C19" w:rsidP="006C5C19">
      <w:pPr>
        <w:jc w:val="center"/>
        <w:rPr>
          <w:b/>
          <w:sz w:val="24"/>
          <w:szCs w:val="24"/>
          <w:u w:val="single"/>
        </w:rPr>
      </w:pPr>
      <w:r w:rsidRPr="00934DCE">
        <w:rPr>
          <w:b/>
          <w:sz w:val="24"/>
          <w:szCs w:val="24"/>
          <w:u w:val="single"/>
        </w:rPr>
        <w:t>Risk Management Procedures</w:t>
      </w:r>
      <w:r>
        <w:rPr>
          <w:b/>
          <w:sz w:val="24"/>
          <w:szCs w:val="24"/>
          <w:u w:val="single"/>
        </w:rPr>
        <w:t xml:space="preserve"> and Guidance</w:t>
      </w:r>
    </w:p>
    <w:p w14:paraId="0C0E04B2" w14:textId="77777777" w:rsidR="006C5C19" w:rsidRPr="00934DCE" w:rsidRDefault="006C5C19" w:rsidP="006C5C19">
      <w:pPr>
        <w:jc w:val="center"/>
        <w:rPr>
          <w:b/>
          <w:sz w:val="24"/>
          <w:szCs w:val="24"/>
          <w:u w:val="single"/>
        </w:rPr>
      </w:pPr>
      <w:r>
        <w:rPr>
          <w:b/>
          <w:sz w:val="24"/>
          <w:szCs w:val="24"/>
          <w:u w:val="single"/>
        </w:rPr>
        <w:t>(</w:t>
      </w:r>
      <w:proofErr w:type="gramStart"/>
      <w:r>
        <w:rPr>
          <w:b/>
          <w:sz w:val="24"/>
          <w:szCs w:val="24"/>
          <w:u w:val="single"/>
        </w:rPr>
        <w:t>as</w:t>
      </w:r>
      <w:proofErr w:type="gramEnd"/>
      <w:r>
        <w:rPr>
          <w:b/>
          <w:sz w:val="24"/>
          <w:szCs w:val="24"/>
          <w:u w:val="single"/>
        </w:rPr>
        <w:t xml:space="preserve"> amended on 1</w:t>
      </w:r>
      <w:r w:rsidRPr="00B37FFC">
        <w:rPr>
          <w:b/>
          <w:sz w:val="24"/>
          <w:szCs w:val="24"/>
          <w:u w:val="single"/>
          <w:vertAlign w:val="superscript"/>
        </w:rPr>
        <w:t>st</w:t>
      </w:r>
      <w:r>
        <w:rPr>
          <w:b/>
          <w:sz w:val="24"/>
          <w:szCs w:val="24"/>
          <w:u w:val="single"/>
        </w:rPr>
        <w:t xml:space="preserve"> July 2022)</w:t>
      </w:r>
    </w:p>
    <w:p w14:paraId="10D6D963" w14:textId="77777777" w:rsidR="006C5C19" w:rsidRPr="00934DCE" w:rsidRDefault="006C5C19" w:rsidP="006C5C19">
      <w:pPr>
        <w:pStyle w:val="Heading1"/>
        <w:numPr>
          <w:ilvl w:val="0"/>
          <w:numId w:val="0"/>
        </w:numPr>
        <w:rPr>
          <w:sz w:val="24"/>
          <w:szCs w:val="24"/>
        </w:rPr>
      </w:pPr>
    </w:p>
    <w:p w14:paraId="1D5E71B3" w14:textId="77777777" w:rsidR="006C5C19" w:rsidRPr="00C26463" w:rsidRDefault="006C5C19" w:rsidP="006C5C19">
      <w:pPr>
        <w:pStyle w:val="Heading1"/>
        <w:numPr>
          <w:ilvl w:val="0"/>
          <w:numId w:val="0"/>
        </w:numPr>
        <w:rPr>
          <w:sz w:val="24"/>
          <w:szCs w:val="24"/>
          <w:u w:val="single"/>
        </w:rPr>
      </w:pPr>
      <w:r w:rsidRPr="00C26463">
        <w:rPr>
          <w:sz w:val="24"/>
          <w:szCs w:val="24"/>
          <w:u w:val="single"/>
        </w:rPr>
        <w:t>Summary</w:t>
      </w:r>
      <w:bookmarkEnd w:id="0"/>
      <w:bookmarkEnd w:id="1"/>
      <w:bookmarkEnd w:id="2"/>
      <w:bookmarkEnd w:id="3"/>
    </w:p>
    <w:p w14:paraId="4B3CA57C" w14:textId="77777777" w:rsidR="006C5C19" w:rsidRDefault="006C5C19" w:rsidP="006C5C19">
      <w:pPr>
        <w:rPr>
          <w:rFonts w:cs="Arial"/>
          <w:iCs/>
          <w:sz w:val="24"/>
          <w:szCs w:val="24"/>
        </w:rPr>
      </w:pPr>
      <w:r w:rsidRPr="00934DCE">
        <w:rPr>
          <w:rFonts w:cs="Arial"/>
          <w:iCs/>
          <w:sz w:val="24"/>
          <w:szCs w:val="24"/>
        </w:rPr>
        <w:t xml:space="preserve">The purpose of this document is to provide a management framework to ensure that levels of risk and uncertainty are properly managed </w:t>
      </w:r>
      <w:r>
        <w:rPr>
          <w:rFonts w:cs="Arial"/>
          <w:iCs/>
          <w:sz w:val="24"/>
          <w:szCs w:val="24"/>
        </w:rPr>
        <w:t>within Chambers</w:t>
      </w:r>
      <w:r w:rsidRPr="00934DCE">
        <w:rPr>
          <w:rFonts w:cs="Arial"/>
          <w:iCs/>
          <w:sz w:val="24"/>
          <w:szCs w:val="24"/>
        </w:rPr>
        <w:t xml:space="preserve">. </w:t>
      </w:r>
    </w:p>
    <w:p w14:paraId="70A56E7F" w14:textId="77777777" w:rsidR="006C5C19" w:rsidRPr="00934DCE" w:rsidRDefault="006C5C19" w:rsidP="006C5C19">
      <w:pPr>
        <w:rPr>
          <w:rFonts w:cs="Arial"/>
          <w:iCs/>
          <w:sz w:val="24"/>
          <w:szCs w:val="24"/>
        </w:rPr>
      </w:pPr>
      <w:r w:rsidRPr="00934DCE">
        <w:rPr>
          <w:rFonts w:cs="Arial"/>
          <w:iCs/>
          <w:sz w:val="24"/>
          <w:szCs w:val="24"/>
        </w:rPr>
        <w:t>As risk m</w:t>
      </w:r>
      <w:r>
        <w:rPr>
          <w:rFonts w:cs="Arial"/>
          <w:iCs/>
          <w:sz w:val="24"/>
          <w:szCs w:val="24"/>
        </w:rPr>
        <w:t>anagement is an ongoing process, the Head of Chambers will be required to analyse and consider all risks faced by chambers annually commencing 1</w:t>
      </w:r>
      <w:r w:rsidRPr="00B37FFC">
        <w:rPr>
          <w:rFonts w:cs="Arial"/>
          <w:iCs/>
          <w:sz w:val="24"/>
          <w:szCs w:val="24"/>
          <w:vertAlign w:val="superscript"/>
        </w:rPr>
        <w:t>st</w:t>
      </w:r>
      <w:r>
        <w:rPr>
          <w:rFonts w:cs="Arial"/>
          <w:iCs/>
          <w:sz w:val="24"/>
          <w:szCs w:val="24"/>
        </w:rPr>
        <w:t xml:space="preserve"> July 2023, and to review these procedures.</w:t>
      </w:r>
    </w:p>
    <w:p w14:paraId="158CDFEC" w14:textId="77777777" w:rsidR="006C5C19" w:rsidRPr="00934DCE" w:rsidRDefault="006C5C19" w:rsidP="006C5C19">
      <w:pPr>
        <w:rPr>
          <w:rFonts w:cs="Arial"/>
          <w:iCs/>
          <w:sz w:val="24"/>
          <w:szCs w:val="24"/>
        </w:rPr>
      </w:pPr>
      <w:r w:rsidRPr="00934DCE">
        <w:rPr>
          <w:rFonts w:cs="Arial"/>
          <w:iCs/>
          <w:sz w:val="24"/>
          <w:szCs w:val="24"/>
        </w:rPr>
        <w:t>Thi</w:t>
      </w:r>
      <w:r>
        <w:rPr>
          <w:rFonts w:cs="Arial"/>
          <w:iCs/>
          <w:sz w:val="24"/>
          <w:szCs w:val="24"/>
        </w:rPr>
        <w:t>s document will define</w:t>
      </w:r>
      <w:r w:rsidRPr="00934DCE">
        <w:rPr>
          <w:rFonts w:cs="Arial"/>
          <w:iCs/>
          <w:sz w:val="24"/>
          <w:szCs w:val="24"/>
        </w:rPr>
        <w:t xml:space="preserve"> the following:</w:t>
      </w:r>
    </w:p>
    <w:p w14:paraId="587715DB" w14:textId="77777777" w:rsidR="006C5C19" w:rsidRPr="00934DCE" w:rsidRDefault="006C5C19" w:rsidP="006C5C19">
      <w:pPr>
        <w:pStyle w:val="ListBullet"/>
        <w:rPr>
          <w:rFonts w:cs="Arial"/>
          <w:iCs/>
          <w:sz w:val="24"/>
          <w:szCs w:val="24"/>
        </w:rPr>
      </w:pPr>
      <w:r w:rsidRPr="00934DCE">
        <w:rPr>
          <w:rFonts w:cs="Arial"/>
          <w:iCs/>
          <w:sz w:val="24"/>
          <w:szCs w:val="24"/>
        </w:rPr>
        <w:t>the process that will be/</w:t>
      </w:r>
      <w:r>
        <w:rPr>
          <w:rFonts w:cs="Arial"/>
          <w:iCs/>
          <w:sz w:val="24"/>
          <w:szCs w:val="24"/>
        </w:rPr>
        <w:t xml:space="preserve">has been adopted by TCC </w:t>
      </w:r>
      <w:r w:rsidRPr="00934DCE">
        <w:rPr>
          <w:rFonts w:cs="Arial"/>
          <w:iCs/>
          <w:sz w:val="24"/>
          <w:szCs w:val="24"/>
        </w:rPr>
        <w:t>to identify, analyse and evalu</w:t>
      </w:r>
      <w:r>
        <w:rPr>
          <w:rFonts w:cs="Arial"/>
          <w:iCs/>
          <w:sz w:val="24"/>
          <w:szCs w:val="24"/>
        </w:rPr>
        <w:t xml:space="preserve">ate </w:t>
      </w:r>
      <w:proofErr w:type="gramStart"/>
      <w:r>
        <w:rPr>
          <w:rFonts w:cs="Arial"/>
          <w:iCs/>
          <w:sz w:val="24"/>
          <w:szCs w:val="24"/>
        </w:rPr>
        <w:t>risks;</w:t>
      </w:r>
      <w:proofErr w:type="gramEnd"/>
    </w:p>
    <w:p w14:paraId="6B8E6A71" w14:textId="77777777" w:rsidR="006C5C19" w:rsidRPr="00934DCE" w:rsidRDefault="006C5C19" w:rsidP="006C5C19">
      <w:pPr>
        <w:pStyle w:val="ListBullet"/>
        <w:rPr>
          <w:rFonts w:cs="Arial"/>
          <w:iCs/>
          <w:sz w:val="24"/>
          <w:szCs w:val="24"/>
        </w:rPr>
      </w:pPr>
      <w:r w:rsidRPr="00934DCE">
        <w:rPr>
          <w:rFonts w:cs="Arial"/>
          <w:iCs/>
          <w:sz w:val="24"/>
          <w:szCs w:val="24"/>
        </w:rPr>
        <w:t xml:space="preserve">how risk mitigation strategies will be developed and deployed to reduce the likelihood and/or impact of </w:t>
      </w:r>
      <w:proofErr w:type="gramStart"/>
      <w:r w:rsidRPr="00934DCE">
        <w:rPr>
          <w:rFonts w:cs="Arial"/>
          <w:iCs/>
          <w:sz w:val="24"/>
          <w:szCs w:val="24"/>
        </w:rPr>
        <w:t>risks;</w:t>
      </w:r>
      <w:proofErr w:type="gramEnd"/>
    </w:p>
    <w:p w14:paraId="519662DE" w14:textId="77777777" w:rsidR="006C5C19" w:rsidRPr="00934DCE" w:rsidRDefault="006C5C19" w:rsidP="006C5C19">
      <w:pPr>
        <w:pStyle w:val="ListBullet"/>
        <w:rPr>
          <w:rFonts w:cs="Arial"/>
          <w:iCs/>
          <w:sz w:val="24"/>
          <w:szCs w:val="24"/>
        </w:rPr>
      </w:pPr>
      <w:r w:rsidRPr="00934DCE">
        <w:rPr>
          <w:rFonts w:cs="Arial"/>
          <w:iCs/>
          <w:sz w:val="24"/>
          <w:szCs w:val="24"/>
        </w:rPr>
        <w:t xml:space="preserve">how often risks will be reviewed, the process for review and who will be </w:t>
      </w:r>
      <w:proofErr w:type="gramStart"/>
      <w:r w:rsidRPr="00934DCE">
        <w:rPr>
          <w:rFonts w:cs="Arial"/>
          <w:iCs/>
          <w:sz w:val="24"/>
          <w:szCs w:val="24"/>
        </w:rPr>
        <w:t>involved;</w:t>
      </w:r>
      <w:proofErr w:type="gramEnd"/>
      <w:r w:rsidRPr="00934DCE">
        <w:rPr>
          <w:rFonts w:cs="Arial"/>
          <w:iCs/>
          <w:sz w:val="24"/>
          <w:szCs w:val="24"/>
        </w:rPr>
        <w:t xml:space="preserve"> </w:t>
      </w:r>
    </w:p>
    <w:p w14:paraId="115BB532" w14:textId="77777777" w:rsidR="006C5C19" w:rsidRDefault="006C5C19" w:rsidP="006C5C19">
      <w:pPr>
        <w:pStyle w:val="ListBullet"/>
        <w:rPr>
          <w:rFonts w:cs="Arial"/>
          <w:iCs/>
          <w:sz w:val="24"/>
          <w:szCs w:val="24"/>
        </w:rPr>
      </w:pPr>
      <w:r w:rsidRPr="00934DCE">
        <w:rPr>
          <w:rFonts w:cs="Arial"/>
          <w:iCs/>
          <w:sz w:val="24"/>
          <w:szCs w:val="24"/>
        </w:rPr>
        <w:t xml:space="preserve">roles and responsibilities for risk </w:t>
      </w:r>
      <w:proofErr w:type="gramStart"/>
      <w:r w:rsidRPr="00934DCE">
        <w:rPr>
          <w:rFonts w:cs="Arial"/>
          <w:iCs/>
          <w:sz w:val="24"/>
          <w:szCs w:val="24"/>
        </w:rPr>
        <w:t>management;</w:t>
      </w:r>
      <w:bookmarkStart w:id="4" w:name="_Toc61237707"/>
      <w:bookmarkStart w:id="5" w:name="_Toc61489853"/>
      <w:bookmarkStart w:id="6" w:name="_Toc176060724"/>
      <w:proofErr w:type="gramEnd"/>
    </w:p>
    <w:p w14:paraId="0642EAC7" w14:textId="77777777" w:rsidR="006C5C19" w:rsidRDefault="006C5C19" w:rsidP="006C5C19">
      <w:pPr>
        <w:pStyle w:val="ListBullet"/>
        <w:numPr>
          <w:ilvl w:val="0"/>
          <w:numId w:val="0"/>
        </w:numPr>
        <w:ind w:left="425"/>
        <w:rPr>
          <w:rFonts w:cs="Arial"/>
          <w:iCs/>
          <w:sz w:val="24"/>
          <w:szCs w:val="24"/>
        </w:rPr>
      </w:pPr>
    </w:p>
    <w:p w14:paraId="50357CD4" w14:textId="77777777" w:rsidR="006C5C19" w:rsidRPr="00C26463" w:rsidRDefault="006C5C19" w:rsidP="006C5C19">
      <w:pPr>
        <w:pStyle w:val="ListBullet"/>
        <w:numPr>
          <w:ilvl w:val="0"/>
          <w:numId w:val="0"/>
        </w:numPr>
        <w:ind w:left="425" w:hanging="425"/>
        <w:rPr>
          <w:rFonts w:cs="Arial"/>
          <w:iCs/>
          <w:sz w:val="24"/>
          <w:szCs w:val="24"/>
        </w:rPr>
      </w:pPr>
      <w:r w:rsidRPr="00C26463">
        <w:rPr>
          <w:b/>
          <w:sz w:val="24"/>
          <w:szCs w:val="24"/>
          <w:u w:val="single"/>
        </w:rPr>
        <w:t>Introduction</w:t>
      </w:r>
      <w:bookmarkEnd w:id="4"/>
      <w:bookmarkEnd w:id="5"/>
      <w:bookmarkEnd w:id="6"/>
    </w:p>
    <w:p w14:paraId="2F02B51F" w14:textId="77777777" w:rsidR="006C5C19" w:rsidRPr="00934DCE" w:rsidRDefault="006C5C19" w:rsidP="006C5C19">
      <w:pPr>
        <w:rPr>
          <w:rFonts w:cs="Arial"/>
          <w:iCs/>
          <w:sz w:val="24"/>
          <w:szCs w:val="24"/>
        </w:rPr>
      </w:pPr>
      <w:r w:rsidRPr="00934DCE">
        <w:rPr>
          <w:rFonts w:cs="Arial"/>
          <w:iCs/>
          <w:sz w:val="24"/>
          <w:szCs w:val="24"/>
        </w:rPr>
        <w:t xml:space="preserve">The purpose of risk management is to ensure levels of risk and uncertainty are identified and then properly managed in a structured way, so </w:t>
      </w:r>
      <w:r>
        <w:rPr>
          <w:rFonts w:cs="Arial"/>
          <w:iCs/>
          <w:sz w:val="24"/>
          <w:szCs w:val="24"/>
        </w:rPr>
        <w:t xml:space="preserve">any potential threat </w:t>
      </w:r>
      <w:r w:rsidRPr="00934DCE">
        <w:rPr>
          <w:rFonts w:cs="Arial"/>
          <w:iCs/>
          <w:sz w:val="24"/>
          <w:szCs w:val="24"/>
        </w:rPr>
        <w:t>is appropriately managed to ensure the project is completed successfully.</w:t>
      </w:r>
    </w:p>
    <w:p w14:paraId="15EB3384" w14:textId="77777777" w:rsidR="006C5C19" w:rsidRPr="00934DCE" w:rsidRDefault="006C5C19" w:rsidP="006C5C19">
      <w:pPr>
        <w:rPr>
          <w:rFonts w:cs="Arial"/>
          <w:sz w:val="24"/>
          <w:szCs w:val="24"/>
        </w:rPr>
      </w:pPr>
      <w:r w:rsidRPr="00934DCE">
        <w:rPr>
          <w:rFonts w:cs="Arial"/>
          <w:sz w:val="24"/>
          <w:szCs w:val="24"/>
        </w:rPr>
        <w:t xml:space="preserve">The objectives of the </w:t>
      </w:r>
      <w:r>
        <w:rPr>
          <w:rFonts w:cs="Arial"/>
          <w:sz w:val="24"/>
          <w:szCs w:val="24"/>
        </w:rPr>
        <w:t xml:space="preserve">risk management policy </w:t>
      </w:r>
      <w:r w:rsidRPr="00934DCE">
        <w:rPr>
          <w:rFonts w:cs="Arial"/>
          <w:sz w:val="24"/>
          <w:szCs w:val="24"/>
        </w:rPr>
        <w:t>are to identify, assess and mitigate risks where possible and to c</w:t>
      </w:r>
      <w:r>
        <w:rPr>
          <w:rFonts w:cs="Arial"/>
          <w:sz w:val="24"/>
          <w:szCs w:val="24"/>
        </w:rPr>
        <w:t>ontinually monitor risks within chambers,</w:t>
      </w:r>
      <w:r w:rsidRPr="00934DCE">
        <w:rPr>
          <w:rFonts w:cs="Arial"/>
          <w:sz w:val="24"/>
          <w:szCs w:val="24"/>
        </w:rPr>
        <w:t xml:space="preserve"> as other risks or threats emerge or a risk’s impact or likelihood changes.</w:t>
      </w:r>
    </w:p>
    <w:p w14:paraId="7B240CD7" w14:textId="77777777" w:rsidR="006C5C19" w:rsidRDefault="006C5C19" w:rsidP="006C5C19">
      <w:pPr>
        <w:rPr>
          <w:rFonts w:cs="Arial"/>
          <w:sz w:val="24"/>
          <w:szCs w:val="24"/>
        </w:rPr>
      </w:pPr>
      <w:r w:rsidRPr="00934DCE">
        <w:rPr>
          <w:rFonts w:cs="Arial"/>
          <w:sz w:val="24"/>
          <w:szCs w:val="24"/>
        </w:rPr>
        <w:t xml:space="preserve">As risk </w:t>
      </w:r>
      <w:r>
        <w:rPr>
          <w:rFonts w:cs="Arial"/>
          <w:sz w:val="24"/>
          <w:szCs w:val="24"/>
        </w:rPr>
        <w:t>management is ongoing, the Head of Chambers has decided that there should be a review annually.</w:t>
      </w:r>
    </w:p>
    <w:p w14:paraId="310D95A8" w14:textId="77777777" w:rsidR="006C5C19" w:rsidRDefault="006C5C19" w:rsidP="006C5C19">
      <w:pPr>
        <w:rPr>
          <w:rFonts w:cs="Arial"/>
          <w:sz w:val="24"/>
          <w:szCs w:val="24"/>
        </w:rPr>
      </w:pPr>
      <w:r w:rsidRPr="00934DCE">
        <w:rPr>
          <w:rFonts w:cs="Arial"/>
          <w:sz w:val="24"/>
          <w:szCs w:val="24"/>
        </w:rPr>
        <w:t xml:space="preserve">Where required, the process of risk identification, assessment and the development of countermeasures will involve consultation with </w:t>
      </w:r>
      <w:bookmarkStart w:id="7" w:name="_Toc475330444"/>
      <w:bookmarkStart w:id="8" w:name="_Toc61232858"/>
      <w:bookmarkStart w:id="9" w:name="_Toc61237708"/>
      <w:bookmarkStart w:id="10" w:name="_Toc61489854"/>
      <w:bookmarkStart w:id="11" w:name="_Toc176060725"/>
      <w:r>
        <w:rPr>
          <w:rFonts w:cs="Arial"/>
          <w:sz w:val="24"/>
          <w:szCs w:val="24"/>
        </w:rPr>
        <w:t>all members of chambers and the clerking team if so appropriate.</w:t>
      </w:r>
    </w:p>
    <w:p w14:paraId="71332A1E" w14:textId="77777777" w:rsidR="006C5C19" w:rsidRDefault="006C5C19" w:rsidP="006C5C19">
      <w:pPr>
        <w:rPr>
          <w:rFonts w:cs="Arial"/>
          <w:sz w:val="24"/>
          <w:szCs w:val="24"/>
        </w:rPr>
      </w:pPr>
    </w:p>
    <w:p w14:paraId="52E3A3CE" w14:textId="77777777" w:rsidR="006C5C19" w:rsidRPr="00C26463" w:rsidRDefault="006C5C19" w:rsidP="006C5C19">
      <w:pPr>
        <w:pStyle w:val="ListParagraph"/>
        <w:numPr>
          <w:ilvl w:val="0"/>
          <w:numId w:val="4"/>
        </w:numPr>
        <w:rPr>
          <w:b/>
          <w:sz w:val="24"/>
          <w:szCs w:val="24"/>
          <w:u w:val="single"/>
        </w:rPr>
      </w:pPr>
      <w:r w:rsidRPr="00C26463">
        <w:rPr>
          <w:b/>
          <w:sz w:val="24"/>
          <w:szCs w:val="24"/>
          <w:u w:val="single"/>
        </w:rPr>
        <w:lastRenderedPageBreak/>
        <w:t xml:space="preserve">Risk </w:t>
      </w:r>
      <w:bookmarkEnd w:id="7"/>
      <w:bookmarkEnd w:id="8"/>
      <w:bookmarkEnd w:id="9"/>
      <w:r w:rsidRPr="00C26463">
        <w:rPr>
          <w:b/>
          <w:sz w:val="24"/>
          <w:szCs w:val="24"/>
          <w:u w:val="single"/>
        </w:rPr>
        <w:t>Assessment</w:t>
      </w:r>
      <w:bookmarkEnd w:id="10"/>
      <w:bookmarkEnd w:id="11"/>
    </w:p>
    <w:p w14:paraId="020FE6B0" w14:textId="77777777" w:rsidR="006C5C19" w:rsidRPr="00934DCE" w:rsidRDefault="006C5C19" w:rsidP="006C5C19">
      <w:pPr>
        <w:pStyle w:val="Heading2"/>
        <w:numPr>
          <w:ilvl w:val="0"/>
          <w:numId w:val="0"/>
        </w:numPr>
        <w:rPr>
          <w:sz w:val="24"/>
          <w:szCs w:val="24"/>
        </w:rPr>
      </w:pPr>
      <w:bookmarkStart w:id="12" w:name="_Toc61237709"/>
      <w:bookmarkStart w:id="13" w:name="_Toc61489855"/>
      <w:bookmarkStart w:id="14" w:name="_Toc176060726"/>
      <w:r w:rsidRPr="00934DCE">
        <w:rPr>
          <w:sz w:val="24"/>
          <w:szCs w:val="24"/>
        </w:rPr>
        <w:t>Identification</w:t>
      </w:r>
      <w:bookmarkEnd w:id="12"/>
      <w:bookmarkEnd w:id="13"/>
      <w:bookmarkEnd w:id="14"/>
    </w:p>
    <w:p w14:paraId="3711A10A" w14:textId="77777777" w:rsidR="006C5C19" w:rsidRDefault="006C5C19" w:rsidP="006C5C19">
      <w:pPr>
        <w:rPr>
          <w:rFonts w:cs="Arial"/>
          <w:iCs/>
          <w:sz w:val="24"/>
          <w:szCs w:val="24"/>
        </w:rPr>
      </w:pPr>
      <w:r w:rsidRPr="00934DCE">
        <w:rPr>
          <w:rFonts w:cs="Arial"/>
          <w:iCs/>
          <w:sz w:val="24"/>
          <w:szCs w:val="24"/>
        </w:rPr>
        <w:t xml:space="preserve">Risk identification involves determining which risks or threats </w:t>
      </w:r>
      <w:r>
        <w:rPr>
          <w:rFonts w:cs="Arial"/>
          <w:iCs/>
          <w:sz w:val="24"/>
          <w:szCs w:val="24"/>
        </w:rPr>
        <w:t>are likely to affect TCC</w:t>
      </w:r>
      <w:r w:rsidRPr="00934DCE">
        <w:rPr>
          <w:rFonts w:cs="Arial"/>
          <w:iCs/>
          <w:sz w:val="24"/>
          <w:szCs w:val="24"/>
        </w:rPr>
        <w:t>.  It involves the identification of risks or thr</w:t>
      </w:r>
      <w:r>
        <w:rPr>
          <w:rFonts w:cs="Arial"/>
          <w:iCs/>
          <w:sz w:val="24"/>
          <w:szCs w:val="24"/>
        </w:rPr>
        <w:t>eats that may lead to</w:t>
      </w:r>
      <w:r w:rsidRPr="00934DCE">
        <w:rPr>
          <w:rFonts w:cs="Arial"/>
          <w:iCs/>
          <w:sz w:val="24"/>
          <w:szCs w:val="24"/>
        </w:rPr>
        <w:t xml:space="preserve"> quality (fitness for purpose) being reduced or compromised.</w:t>
      </w:r>
    </w:p>
    <w:p w14:paraId="3A5BD1D4" w14:textId="77777777" w:rsidR="006C5C19" w:rsidRDefault="006C5C19" w:rsidP="006C5C19">
      <w:pPr>
        <w:rPr>
          <w:rFonts w:cs="Arial"/>
          <w:iCs/>
          <w:sz w:val="24"/>
          <w:szCs w:val="24"/>
        </w:rPr>
      </w:pPr>
      <w:r>
        <w:rPr>
          <w:rFonts w:cs="Arial"/>
          <w:iCs/>
          <w:sz w:val="24"/>
          <w:szCs w:val="24"/>
        </w:rPr>
        <w:t>TCC has determined that the following persons will in future be responsible for ensuring that these procedures are reviewed on a regular basis and that risks identified are graded according to likelihood:</w:t>
      </w:r>
    </w:p>
    <w:p w14:paraId="6F8D90A6" w14:textId="77777777" w:rsidR="006C5C19" w:rsidRPr="00934DCE" w:rsidRDefault="006C5C19" w:rsidP="006C5C19">
      <w:pPr>
        <w:rPr>
          <w:rFonts w:cs="Arial"/>
          <w:iCs/>
          <w:sz w:val="24"/>
          <w:szCs w:val="24"/>
        </w:rPr>
      </w:pPr>
      <w:r>
        <w:rPr>
          <w:rFonts w:cs="Arial"/>
          <w:iCs/>
          <w:sz w:val="24"/>
          <w:szCs w:val="24"/>
        </w:rPr>
        <w:t>MR CHARLES MANNAN</w:t>
      </w:r>
    </w:p>
    <w:p w14:paraId="24F319F5" w14:textId="77777777" w:rsidR="006C5C19" w:rsidRDefault="006C5C19" w:rsidP="006C5C19">
      <w:pPr>
        <w:rPr>
          <w:rFonts w:cs="Arial"/>
          <w:iCs/>
          <w:sz w:val="24"/>
          <w:szCs w:val="24"/>
        </w:rPr>
      </w:pPr>
      <w:bookmarkStart w:id="15" w:name="_Toc61237710"/>
      <w:bookmarkStart w:id="16" w:name="_Toc61489856"/>
      <w:bookmarkStart w:id="17" w:name="_Toc176060727"/>
      <w:r w:rsidRPr="00B429FF">
        <w:rPr>
          <w:rFonts w:cs="Arial"/>
          <w:b/>
          <w:iCs/>
          <w:sz w:val="24"/>
          <w:szCs w:val="24"/>
        </w:rPr>
        <w:t>TCC has identified the following fundamental risks</w:t>
      </w:r>
      <w:r>
        <w:rPr>
          <w:rFonts w:cs="Arial"/>
          <w:b/>
          <w:iCs/>
          <w:sz w:val="24"/>
          <w:szCs w:val="24"/>
        </w:rPr>
        <w:t xml:space="preserve"> as at the date of this document</w:t>
      </w:r>
      <w:r>
        <w:rPr>
          <w:rFonts w:cs="Arial"/>
          <w:iCs/>
          <w:sz w:val="24"/>
          <w:szCs w:val="24"/>
        </w:rPr>
        <w:t>:</w:t>
      </w:r>
    </w:p>
    <w:p w14:paraId="1D3783FA" w14:textId="77777777" w:rsidR="006C5C19" w:rsidRDefault="006C5C19" w:rsidP="006C5C19">
      <w:pPr>
        <w:pStyle w:val="ListParagraph"/>
        <w:numPr>
          <w:ilvl w:val="0"/>
          <w:numId w:val="3"/>
        </w:numPr>
        <w:rPr>
          <w:rFonts w:cs="Arial"/>
          <w:iCs/>
          <w:sz w:val="24"/>
          <w:szCs w:val="24"/>
        </w:rPr>
      </w:pPr>
      <w:r>
        <w:rPr>
          <w:rFonts w:cs="Arial"/>
          <w:iCs/>
          <w:sz w:val="24"/>
          <w:szCs w:val="24"/>
        </w:rPr>
        <w:t xml:space="preserve">Loss of data </w:t>
      </w:r>
    </w:p>
    <w:p w14:paraId="75CEDB98" w14:textId="77777777" w:rsidR="006C5C19" w:rsidRPr="00FF6CFB" w:rsidRDefault="006C5C19" w:rsidP="006C5C19">
      <w:pPr>
        <w:pStyle w:val="ListParagraph"/>
        <w:numPr>
          <w:ilvl w:val="0"/>
          <w:numId w:val="3"/>
        </w:numPr>
        <w:rPr>
          <w:rFonts w:cs="Arial"/>
          <w:iCs/>
          <w:sz w:val="24"/>
          <w:szCs w:val="24"/>
        </w:rPr>
      </w:pPr>
      <w:r>
        <w:rPr>
          <w:rFonts w:cs="Arial"/>
          <w:iCs/>
          <w:sz w:val="24"/>
          <w:szCs w:val="24"/>
        </w:rPr>
        <w:t>Departure of members of Chambers</w:t>
      </w:r>
    </w:p>
    <w:p w14:paraId="1BCB44E4" w14:textId="77777777" w:rsidR="006C5C19" w:rsidRDefault="006C5C19" w:rsidP="006C5C19">
      <w:pPr>
        <w:pStyle w:val="ListParagraph"/>
        <w:numPr>
          <w:ilvl w:val="0"/>
          <w:numId w:val="3"/>
        </w:numPr>
        <w:rPr>
          <w:rFonts w:cs="Arial"/>
          <w:iCs/>
          <w:sz w:val="24"/>
          <w:szCs w:val="24"/>
        </w:rPr>
      </w:pPr>
      <w:r>
        <w:rPr>
          <w:rFonts w:cs="Arial"/>
          <w:iCs/>
          <w:sz w:val="24"/>
          <w:szCs w:val="24"/>
        </w:rPr>
        <w:t>Budget Forecasts not being met</w:t>
      </w:r>
    </w:p>
    <w:p w14:paraId="601E9D3E" w14:textId="77777777" w:rsidR="006C5C19" w:rsidRDefault="006C5C19" w:rsidP="006C5C19">
      <w:pPr>
        <w:pStyle w:val="ListParagraph"/>
        <w:numPr>
          <w:ilvl w:val="0"/>
          <w:numId w:val="3"/>
        </w:numPr>
        <w:rPr>
          <w:rFonts w:cs="Arial"/>
          <w:iCs/>
          <w:sz w:val="24"/>
          <w:szCs w:val="24"/>
        </w:rPr>
      </w:pPr>
      <w:r>
        <w:rPr>
          <w:rFonts w:cs="Arial"/>
          <w:iCs/>
          <w:sz w:val="24"/>
          <w:szCs w:val="24"/>
        </w:rPr>
        <w:t>Insufficient work for members of chambers</w:t>
      </w:r>
    </w:p>
    <w:p w14:paraId="11833921" w14:textId="77777777" w:rsidR="006C5C19" w:rsidRPr="00FF6CFB" w:rsidRDefault="006C5C19" w:rsidP="006C5C19">
      <w:pPr>
        <w:pStyle w:val="ListParagraph"/>
        <w:numPr>
          <w:ilvl w:val="0"/>
          <w:numId w:val="3"/>
        </w:numPr>
        <w:rPr>
          <w:rFonts w:cs="Arial"/>
          <w:iCs/>
          <w:sz w:val="24"/>
          <w:szCs w:val="24"/>
        </w:rPr>
      </w:pPr>
      <w:r>
        <w:rPr>
          <w:rFonts w:cs="Arial"/>
          <w:iCs/>
          <w:sz w:val="24"/>
          <w:szCs w:val="24"/>
        </w:rPr>
        <w:t>The burden on members in a small set of regulatory requirements</w:t>
      </w:r>
    </w:p>
    <w:p w14:paraId="72336626" w14:textId="77777777" w:rsidR="006C5C19" w:rsidRPr="00B429FF" w:rsidRDefault="006C5C19" w:rsidP="006C5C19">
      <w:pPr>
        <w:rPr>
          <w:rFonts w:cs="Arial"/>
          <w:b/>
          <w:iCs/>
          <w:sz w:val="24"/>
          <w:szCs w:val="24"/>
          <w:u w:val="single"/>
        </w:rPr>
      </w:pPr>
      <w:r w:rsidRPr="00B429FF">
        <w:rPr>
          <w:rFonts w:cs="Arial"/>
          <w:b/>
          <w:iCs/>
          <w:sz w:val="24"/>
          <w:szCs w:val="24"/>
          <w:u w:val="single"/>
        </w:rPr>
        <w:t>Loss of data</w:t>
      </w:r>
    </w:p>
    <w:p w14:paraId="38E2C4BA" w14:textId="77777777" w:rsidR="006C5C19" w:rsidRDefault="006C5C19" w:rsidP="006C5C19">
      <w:pPr>
        <w:rPr>
          <w:rFonts w:cs="Arial"/>
          <w:iCs/>
          <w:sz w:val="24"/>
          <w:szCs w:val="24"/>
        </w:rPr>
      </w:pPr>
      <w:r>
        <w:rPr>
          <w:rFonts w:cs="Arial"/>
          <w:iCs/>
          <w:sz w:val="24"/>
          <w:szCs w:val="24"/>
        </w:rPr>
        <w:t xml:space="preserve">Loss of Data is a fundamental risk to chambers. Loss involves for example theft and fire as well as a malfunction of chambers servers and computers. As at the date of these amendments, it is noted that chambers </w:t>
      </w:r>
      <w:proofErr w:type="gramStart"/>
      <w:r>
        <w:rPr>
          <w:rFonts w:cs="Arial"/>
          <w:iCs/>
          <w:sz w:val="24"/>
          <w:szCs w:val="24"/>
        </w:rPr>
        <w:t>does</w:t>
      </w:r>
      <w:proofErr w:type="gramEnd"/>
      <w:r>
        <w:rPr>
          <w:rFonts w:cs="Arial"/>
          <w:iCs/>
          <w:sz w:val="24"/>
          <w:szCs w:val="24"/>
        </w:rPr>
        <w:t xml:space="preserve"> not have servers or computers, as chambers currently operates from serviced offices where only telephone messages are received and members may utilise facilities for conferences and/or meetings, as may chambers. Our clerk works from home and all members also work from home. As such chambers does not have data.</w:t>
      </w:r>
    </w:p>
    <w:p w14:paraId="6EA1F666" w14:textId="77777777" w:rsidR="006C5C19" w:rsidRPr="00B429FF" w:rsidRDefault="006C5C19" w:rsidP="006C5C19">
      <w:pPr>
        <w:rPr>
          <w:rFonts w:cs="Arial"/>
          <w:b/>
          <w:iCs/>
          <w:sz w:val="24"/>
          <w:szCs w:val="24"/>
          <w:u w:val="single"/>
        </w:rPr>
      </w:pPr>
      <w:r w:rsidRPr="00B429FF">
        <w:rPr>
          <w:rFonts w:cs="Arial"/>
          <w:b/>
          <w:iCs/>
          <w:sz w:val="24"/>
          <w:szCs w:val="24"/>
          <w:u w:val="single"/>
        </w:rPr>
        <w:t>Departure of Members of Chambers</w:t>
      </w:r>
    </w:p>
    <w:p w14:paraId="5676974C" w14:textId="77777777" w:rsidR="006C5C19" w:rsidRDefault="006C5C19" w:rsidP="006C5C19">
      <w:pPr>
        <w:rPr>
          <w:rFonts w:cs="Arial"/>
          <w:iCs/>
          <w:sz w:val="24"/>
          <w:szCs w:val="24"/>
        </w:rPr>
      </w:pPr>
      <w:r>
        <w:rPr>
          <w:rFonts w:cs="Arial"/>
          <w:iCs/>
          <w:sz w:val="24"/>
          <w:szCs w:val="24"/>
        </w:rPr>
        <w:t xml:space="preserve">This involves a </w:t>
      </w:r>
      <w:proofErr w:type="gramStart"/>
      <w:r>
        <w:rPr>
          <w:rFonts w:cs="Arial"/>
          <w:iCs/>
          <w:sz w:val="24"/>
          <w:szCs w:val="24"/>
        </w:rPr>
        <w:t>large scale</w:t>
      </w:r>
      <w:proofErr w:type="gramEnd"/>
      <w:r>
        <w:rPr>
          <w:rFonts w:cs="Arial"/>
          <w:iCs/>
          <w:sz w:val="24"/>
          <w:szCs w:val="24"/>
        </w:rPr>
        <w:t xml:space="preserve"> departure of members leading to the eventual closure of chambers, though the current composition of a Head of Chambers and Door Tenants, make this scenario somewhat different.</w:t>
      </w:r>
    </w:p>
    <w:p w14:paraId="1E971C59" w14:textId="77777777" w:rsidR="006C5C19" w:rsidRPr="00B429FF" w:rsidRDefault="006C5C19" w:rsidP="006C5C19">
      <w:pPr>
        <w:rPr>
          <w:rFonts w:cs="Arial"/>
          <w:b/>
          <w:iCs/>
          <w:sz w:val="24"/>
          <w:szCs w:val="24"/>
          <w:u w:val="single"/>
        </w:rPr>
      </w:pPr>
      <w:r w:rsidRPr="00B429FF">
        <w:rPr>
          <w:rFonts w:cs="Arial"/>
          <w:b/>
          <w:iCs/>
          <w:sz w:val="24"/>
          <w:szCs w:val="24"/>
          <w:u w:val="single"/>
        </w:rPr>
        <w:t>Budget Forecast Not Being Met</w:t>
      </w:r>
    </w:p>
    <w:p w14:paraId="26273EBA" w14:textId="77777777" w:rsidR="006C5C19" w:rsidRDefault="006C5C19" w:rsidP="006C5C19">
      <w:pPr>
        <w:rPr>
          <w:rFonts w:cs="Arial"/>
          <w:iCs/>
          <w:sz w:val="24"/>
          <w:szCs w:val="24"/>
        </w:rPr>
      </w:pPr>
      <w:r>
        <w:rPr>
          <w:rFonts w:cs="Arial"/>
          <w:iCs/>
          <w:sz w:val="24"/>
          <w:szCs w:val="24"/>
        </w:rPr>
        <w:t>The Head of Chambers believes that this is a fundamental risk as currently the financial ‘insurance’ comes solely from the Head of Chambers.</w:t>
      </w:r>
    </w:p>
    <w:p w14:paraId="4A9E287B" w14:textId="77777777" w:rsidR="006C5C19" w:rsidRPr="00FF6CFB" w:rsidRDefault="006C5C19" w:rsidP="006C5C19">
      <w:pPr>
        <w:rPr>
          <w:rFonts w:cs="Arial"/>
          <w:b/>
          <w:iCs/>
          <w:sz w:val="24"/>
          <w:szCs w:val="24"/>
          <w:u w:val="single"/>
        </w:rPr>
      </w:pPr>
      <w:r w:rsidRPr="00FF6CFB">
        <w:rPr>
          <w:rFonts w:cs="Arial"/>
          <w:b/>
          <w:iCs/>
          <w:sz w:val="24"/>
          <w:szCs w:val="24"/>
          <w:u w:val="single"/>
        </w:rPr>
        <w:t>Insufficient Work for Members of Chambers</w:t>
      </w:r>
    </w:p>
    <w:p w14:paraId="3083D864" w14:textId="77777777" w:rsidR="006C5C19" w:rsidRDefault="006C5C19" w:rsidP="006C5C19">
      <w:pPr>
        <w:rPr>
          <w:rFonts w:cs="Arial"/>
          <w:iCs/>
          <w:sz w:val="24"/>
          <w:szCs w:val="24"/>
        </w:rPr>
      </w:pPr>
      <w:r>
        <w:rPr>
          <w:rFonts w:cs="Arial"/>
          <w:iCs/>
          <w:sz w:val="24"/>
          <w:szCs w:val="24"/>
        </w:rPr>
        <w:t>This involves gaps in members diaries, exacerbated recently because of covid. As at the date of these amendments, members work from home.</w:t>
      </w:r>
    </w:p>
    <w:p w14:paraId="4D1148C6" w14:textId="77777777" w:rsidR="006C5C19" w:rsidRPr="00FF6CFB" w:rsidRDefault="006C5C19" w:rsidP="006C5C19">
      <w:pPr>
        <w:rPr>
          <w:rFonts w:cs="Arial"/>
          <w:b/>
          <w:iCs/>
          <w:sz w:val="24"/>
          <w:szCs w:val="24"/>
          <w:u w:val="single"/>
        </w:rPr>
      </w:pPr>
      <w:r w:rsidRPr="00FF6CFB">
        <w:rPr>
          <w:rFonts w:cs="Arial"/>
          <w:b/>
          <w:iCs/>
          <w:sz w:val="24"/>
          <w:szCs w:val="24"/>
          <w:u w:val="single"/>
        </w:rPr>
        <w:lastRenderedPageBreak/>
        <w:t>The Burden of Regulation</w:t>
      </w:r>
    </w:p>
    <w:p w14:paraId="2B21A29B" w14:textId="77777777" w:rsidR="006C5C19" w:rsidRDefault="006C5C19" w:rsidP="006C5C19">
      <w:pPr>
        <w:rPr>
          <w:rFonts w:cs="Arial"/>
          <w:iCs/>
          <w:sz w:val="24"/>
          <w:szCs w:val="24"/>
        </w:rPr>
      </w:pPr>
      <w:r>
        <w:rPr>
          <w:rFonts w:cs="Arial"/>
          <w:iCs/>
          <w:sz w:val="24"/>
          <w:szCs w:val="24"/>
        </w:rPr>
        <w:t xml:space="preserve">The Head of Chambers believes that the burdens on members times in a small set, is significant. In a large set, chambers can allocate </w:t>
      </w:r>
      <w:proofErr w:type="gramStart"/>
      <w:r>
        <w:rPr>
          <w:rFonts w:cs="Arial"/>
          <w:iCs/>
          <w:sz w:val="24"/>
          <w:szCs w:val="24"/>
        </w:rPr>
        <w:t>one person</w:t>
      </w:r>
      <w:proofErr w:type="gramEnd"/>
      <w:r>
        <w:rPr>
          <w:rFonts w:cs="Arial"/>
          <w:iCs/>
          <w:sz w:val="24"/>
          <w:szCs w:val="24"/>
        </w:rPr>
        <w:t xml:space="preserve"> full time per year to deal with regulation. Resources are significant. In a small set, resources are finite and members times are at a premium. With one Head of Chambers and a small membership, it is believed that this burden is significant.</w:t>
      </w:r>
    </w:p>
    <w:p w14:paraId="4467E382" w14:textId="77777777" w:rsidR="006C5C19" w:rsidRDefault="006C5C19" w:rsidP="006C5C19">
      <w:pPr>
        <w:rPr>
          <w:rFonts w:cs="Arial"/>
          <w:iCs/>
          <w:sz w:val="24"/>
          <w:szCs w:val="24"/>
        </w:rPr>
      </w:pPr>
    </w:p>
    <w:p w14:paraId="608FCBD7" w14:textId="77777777" w:rsidR="006C5C19" w:rsidRPr="00B429FF" w:rsidRDefault="006C5C19" w:rsidP="006C5C19">
      <w:pPr>
        <w:rPr>
          <w:b/>
          <w:sz w:val="24"/>
          <w:szCs w:val="24"/>
          <w:u w:val="single"/>
        </w:rPr>
      </w:pPr>
      <w:r w:rsidRPr="00B429FF">
        <w:rPr>
          <w:b/>
          <w:sz w:val="24"/>
          <w:szCs w:val="24"/>
          <w:u w:val="single"/>
        </w:rPr>
        <w:t>Analysis</w:t>
      </w:r>
      <w:bookmarkEnd w:id="15"/>
      <w:r w:rsidRPr="00B429FF">
        <w:rPr>
          <w:b/>
          <w:sz w:val="24"/>
          <w:szCs w:val="24"/>
          <w:u w:val="single"/>
        </w:rPr>
        <w:t xml:space="preserve"> and Evaluation</w:t>
      </w:r>
      <w:bookmarkEnd w:id="16"/>
      <w:bookmarkEnd w:id="17"/>
    </w:p>
    <w:p w14:paraId="078BDA3D" w14:textId="77777777" w:rsidR="006C5C19" w:rsidRPr="00934DCE" w:rsidRDefault="006C5C19" w:rsidP="006C5C19">
      <w:pPr>
        <w:rPr>
          <w:rFonts w:cs="Arial"/>
          <w:iCs/>
          <w:sz w:val="24"/>
          <w:szCs w:val="24"/>
        </w:rPr>
      </w:pPr>
      <w:r>
        <w:rPr>
          <w:rFonts w:cs="Arial"/>
          <w:iCs/>
          <w:sz w:val="24"/>
          <w:szCs w:val="24"/>
        </w:rPr>
        <w:t xml:space="preserve">The Head of Chambers believes that </w:t>
      </w:r>
      <w:r w:rsidRPr="00934DCE">
        <w:rPr>
          <w:rFonts w:cs="Arial"/>
          <w:iCs/>
          <w:sz w:val="24"/>
          <w:szCs w:val="24"/>
        </w:rPr>
        <w:t xml:space="preserve">risks should be evaluated to determine the </w:t>
      </w:r>
      <w:r w:rsidRPr="00934DCE">
        <w:rPr>
          <w:rFonts w:cs="Arial"/>
          <w:b/>
          <w:bCs/>
          <w:iCs/>
          <w:sz w:val="24"/>
          <w:szCs w:val="24"/>
        </w:rPr>
        <w:t>likelihood</w:t>
      </w:r>
      <w:r w:rsidRPr="00934DCE">
        <w:rPr>
          <w:rFonts w:cs="Arial"/>
          <w:iCs/>
          <w:sz w:val="24"/>
          <w:szCs w:val="24"/>
        </w:rPr>
        <w:t xml:space="preserve"> of a risk or threat being realised and the </w:t>
      </w:r>
      <w:r w:rsidRPr="00934DCE">
        <w:rPr>
          <w:rFonts w:cs="Arial"/>
          <w:b/>
          <w:bCs/>
          <w:iCs/>
          <w:sz w:val="24"/>
          <w:szCs w:val="24"/>
        </w:rPr>
        <w:t>seriousness</w:t>
      </w:r>
      <w:r w:rsidRPr="00934DCE">
        <w:rPr>
          <w:rFonts w:cs="Arial"/>
          <w:iCs/>
          <w:sz w:val="24"/>
          <w:szCs w:val="24"/>
        </w:rPr>
        <w:t xml:space="preserve">, or impact, should the risk occur. </w:t>
      </w:r>
    </w:p>
    <w:p w14:paraId="1B40158D" w14:textId="77777777" w:rsidR="006C5C19" w:rsidRPr="00934DCE" w:rsidRDefault="006C5C19" w:rsidP="006C5C19">
      <w:pPr>
        <w:jc w:val="both"/>
        <w:rPr>
          <w:rFonts w:eastAsia="Arial Unicode MS" w:cs="Arial"/>
          <w:iCs/>
          <w:sz w:val="24"/>
          <w:szCs w:val="24"/>
        </w:rPr>
      </w:pPr>
      <w:r w:rsidRPr="00934DCE">
        <w:rPr>
          <w:rFonts w:cs="Arial"/>
          <w:b/>
          <w:bCs/>
          <w:iCs/>
          <w:sz w:val="24"/>
          <w:szCs w:val="24"/>
        </w:rPr>
        <w:t>'Likelihood'</w:t>
      </w:r>
      <w:r w:rsidRPr="00934DCE">
        <w:rPr>
          <w:rFonts w:cs="Arial"/>
          <w:iCs/>
          <w:sz w:val="24"/>
          <w:szCs w:val="24"/>
        </w:rPr>
        <w:t xml:space="preserve"> is a qualitative measure of probability to express the strength of our belief that the threat will emerge (generally ranked as Low (L), Medium (M) or High (H)).  </w:t>
      </w:r>
    </w:p>
    <w:p w14:paraId="04878F54" w14:textId="77777777" w:rsidR="006C5C19" w:rsidRPr="00934DCE" w:rsidRDefault="006C5C19" w:rsidP="006C5C19">
      <w:pPr>
        <w:rPr>
          <w:rFonts w:cs="Arial"/>
          <w:iCs/>
          <w:sz w:val="24"/>
          <w:szCs w:val="24"/>
        </w:rPr>
      </w:pPr>
      <w:r w:rsidRPr="00934DCE">
        <w:rPr>
          <w:rFonts w:cs="Arial"/>
          <w:b/>
          <w:bCs/>
          <w:iCs/>
          <w:sz w:val="24"/>
          <w:szCs w:val="24"/>
        </w:rPr>
        <w:t>'Seriousness'</w:t>
      </w:r>
      <w:r w:rsidRPr="00934DCE">
        <w:rPr>
          <w:rFonts w:cs="Arial"/>
          <w:iCs/>
          <w:sz w:val="24"/>
          <w:szCs w:val="24"/>
        </w:rPr>
        <w:t xml:space="preserve"> is a qualitative measure of negative impact to convey the overall loss of value from a project if the threat emerges, based on the extent of the damage (generally ranked as Low (L), Medium (M), High (H) or Extreme). </w:t>
      </w:r>
    </w:p>
    <w:p w14:paraId="5F923978" w14:textId="77777777" w:rsidR="006C5C19" w:rsidRPr="00934DCE" w:rsidRDefault="006C5C19" w:rsidP="006C5C19">
      <w:pPr>
        <w:rPr>
          <w:rFonts w:cs="Arial"/>
          <w:iCs/>
          <w:sz w:val="24"/>
          <w:szCs w:val="24"/>
        </w:rPr>
      </w:pPr>
      <w:r w:rsidRPr="00934DCE">
        <w:rPr>
          <w:rFonts w:cs="Arial"/>
          <w:iCs/>
          <w:sz w:val="24"/>
          <w:szCs w:val="24"/>
        </w:rPr>
        <w:t xml:space="preserve">From </w:t>
      </w:r>
      <w:proofErr w:type="gramStart"/>
      <w:r w:rsidRPr="00934DCE">
        <w:rPr>
          <w:rFonts w:cs="Arial"/>
          <w:iCs/>
          <w:sz w:val="24"/>
          <w:szCs w:val="24"/>
        </w:rPr>
        <w:t>this risks</w:t>
      </w:r>
      <w:proofErr w:type="gramEnd"/>
      <w:r w:rsidRPr="00934DCE">
        <w:rPr>
          <w:rFonts w:cs="Arial"/>
          <w:iCs/>
          <w:sz w:val="24"/>
          <w:szCs w:val="24"/>
        </w:rPr>
        <w:t xml:space="preserve"> will be graded as A, B, C, D or N according to the following matrix:</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634"/>
        <w:gridCol w:w="1472"/>
        <w:gridCol w:w="1472"/>
        <w:gridCol w:w="1472"/>
        <w:gridCol w:w="1472"/>
        <w:gridCol w:w="1474"/>
      </w:tblGrid>
      <w:tr w:rsidR="006C5C19" w:rsidRPr="00934DCE" w14:paraId="06062309" w14:textId="77777777" w:rsidTr="000D001F">
        <w:trPr>
          <w:cantSplit/>
          <w:trHeight w:val="660"/>
        </w:trPr>
        <w:tc>
          <w:tcPr>
            <w:tcW w:w="909" w:type="pct"/>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07B39407" w14:textId="77777777" w:rsidR="006C5C19" w:rsidRPr="00934DCE" w:rsidRDefault="006C5C19" w:rsidP="000D001F">
            <w:pPr>
              <w:pStyle w:val="TableHeading"/>
              <w:rPr>
                <w:rFonts w:cs="Arial"/>
                <w:sz w:val="24"/>
                <w:szCs w:val="24"/>
              </w:rPr>
            </w:pPr>
            <w:r w:rsidRPr="00934DCE">
              <w:rPr>
                <w:rFonts w:cs="Arial"/>
                <w:sz w:val="24"/>
                <w:szCs w:val="24"/>
              </w:rPr>
              <w:t>Likelihood</w:t>
            </w:r>
          </w:p>
        </w:tc>
        <w:tc>
          <w:tcPr>
            <w:tcW w:w="4091" w:type="pct"/>
            <w:gridSpan w:val="5"/>
            <w:tcBorders>
              <w:top w:val="single" w:sz="12" w:space="0" w:color="auto"/>
              <w:left w:val="single" w:sz="12" w:space="0" w:color="auto"/>
              <w:bottom w:val="single" w:sz="12" w:space="0" w:color="auto"/>
              <w:right w:val="single" w:sz="12" w:space="0" w:color="auto"/>
            </w:tcBorders>
            <w:shd w:val="clear" w:color="auto" w:fill="D9D9D9"/>
            <w:vAlign w:val="center"/>
          </w:tcPr>
          <w:p w14:paraId="0F428572" w14:textId="77777777" w:rsidR="006C5C19" w:rsidRPr="00934DCE" w:rsidRDefault="006C5C19" w:rsidP="000D001F">
            <w:pPr>
              <w:pStyle w:val="TableHeading"/>
              <w:rPr>
                <w:rFonts w:cs="Arial"/>
                <w:sz w:val="24"/>
                <w:szCs w:val="24"/>
              </w:rPr>
            </w:pPr>
            <w:r w:rsidRPr="00934DCE">
              <w:rPr>
                <w:rFonts w:cs="Arial"/>
                <w:sz w:val="24"/>
                <w:szCs w:val="24"/>
              </w:rPr>
              <w:t>Seriousness</w:t>
            </w:r>
          </w:p>
        </w:tc>
      </w:tr>
      <w:tr w:rsidR="006C5C19" w:rsidRPr="00934DCE" w14:paraId="75E611B9" w14:textId="77777777" w:rsidTr="000D001F">
        <w:trPr>
          <w:cantSplit/>
          <w:trHeight w:val="360"/>
        </w:trPr>
        <w:tc>
          <w:tcPr>
            <w:tcW w:w="909" w:type="pct"/>
            <w:vMerge/>
            <w:tcBorders>
              <w:top w:val="nil"/>
              <w:left w:val="single" w:sz="12" w:space="0" w:color="auto"/>
              <w:bottom w:val="single" w:sz="12" w:space="0" w:color="auto"/>
              <w:right w:val="single" w:sz="12" w:space="0" w:color="auto"/>
            </w:tcBorders>
            <w:vAlign w:val="center"/>
          </w:tcPr>
          <w:p w14:paraId="347AC1B9" w14:textId="77777777" w:rsidR="006C5C19" w:rsidRPr="00934DCE" w:rsidRDefault="006C5C19" w:rsidP="000D001F">
            <w:pPr>
              <w:pStyle w:val="TableText"/>
              <w:rPr>
                <w:rFonts w:cs="Arial"/>
                <w:sz w:val="24"/>
                <w:szCs w:val="24"/>
              </w:rPr>
            </w:pPr>
          </w:p>
        </w:tc>
        <w:tc>
          <w:tcPr>
            <w:tcW w:w="818" w:type="pct"/>
            <w:tcBorders>
              <w:top w:val="single" w:sz="12" w:space="0" w:color="auto"/>
              <w:left w:val="single" w:sz="12" w:space="0" w:color="auto"/>
              <w:bottom w:val="single" w:sz="6" w:space="0" w:color="auto"/>
            </w:tcBorders>
            <w:shd w:val="clear" w:color="auto" w:fill="D9D9D9"/>
            <w:vAlign w:val="center"/>
          </w:tcPr>
          <w:p w14:paraId="6466AB8C" w14:textId="77777777" w:rsidR="006C5C19" w:rsidRPr="00934DCE" w:rsidRDefault="006C5C19" w:rsidP="000D001F">
            <w:pPr>
              <w:pStyle w:val="TableHeading"/>
              <w:rPr>
                <w:rFonts w:cs="Arial"/>
                <w:sz w:val="24"/>
                <w:szCs w:val="24"/>
              </w:rPr>
            </w:pPr>
          </w:p>
        </w:tc>
        <w:tc>
          <w:tcPr>
            <w:tcW w:w="818" w:type="pct"/>
            <w:tcBorders>
              <w:top w:val="single" w:sz="12" w:space="0" w:color="auto"/>
              <w:bottom w:val="single" w:sz="12" w:space="0" w:color="auto"/>
            </w:tcBorders>
            <w:shd w:val="clear" w:color="auto" w:fill="D9D9D9"/>
            <w:vAlign w:val="center"/>
          </w:tcPr>
          <w:p w14:paraId="51D015CA" w14:textId="77777777" w:rsidR="006C5C19" w:rsidRPr="00934DCE" w:rsidRDefault="006C5C19" w:rsidP="000D001F">
            <w:pPr>
              <w:pStyle w:val="TableHeading"/>
              <w:rPr>
                <w:rFonts w:cs="Arial"/>
                <w:sz w:val="24"/>
                <w:szCs w:val="24"/>
              </w:rPr>
            </w:pPr>
            <w:r w:rsidRPr="00934DCE">
              <w:rPr>
                <w:rFonts w:cs="Arial"/>
                <w:sz w:val="24"/>
                <w:szCs w:val="24"/>
              </w:rPr>
              <w:t>Low</w:t>
            </w:r>
          </w:p>
        </w:tc>
        <w:tc>
          <w:tcPr>
            <w:tcW w:w="818" w:type="pct"/>
            <w:tcBorders>
              <w:top w:val="single" w:sz="12" w:space="0" w:color="auto"/>
              <w:bottom w:val="single" w:sz="12" w:space="0" w:color="auto"/>
            </w:tcBorders>
            <w:shd w:val="clear" w:color="auto" w:fill="D9D9D9"/>
            <w:vAlign w:val="center"/>
          </w:tcPr>
          <w:p w14:paraId="36E0D0DB" w14:textId="77777777" w:rsidR="006C5C19" w:rsidRPr="00934DCE" w:rsidRDefault="006C5C19" w:rsidP="000D001F">
            <w:pPr>
              <w:pStyle w:val="TableHeading"/>
              <w:rPr>
                <w:rFonts w:cs="Arial"/>
                <w:sz w:val="24"/>
                <w:szCs w:val="24"/>
              </w:rPr>
            </w:pPr>
            <w:r w:rsidRPr="00934DCE">
              <w:rPr>
                <w:rFonts w:cs="Arial"/>
                <w:sz w:val="24"/>
                <w:szCs w:val="24"/>
              </w:rPr>
              <w:t>Medium</w:t>
            </w:r>
          </w:p>
        </w:tc>
        <w:tc>
          <w:tcPr>
            <w:tcW w:w="818" w:type="pct"/>
            <w:tcBorders>
              <w:top w:val="single" w:sz="12" w:space="0" w:color="auto"/>
              <w:bottom w:val="single" w:sz="12" w:space="0" w:color="auto"/>
            </w:tcBorders>
            <w:shd w:val="clear" w:color="auto" w:fill="D9D9D9"/>
            <w:vAlign w:val="center"/>
          </w:tcPr>
          <w:p w14:paraId="69B93FAB" w14:textId="77777777" w:rsidR="006C5C19" w:rsidRPr="00934DCE" w:rsidRDefault="006C5C19" w:rsidP="000D001F">
            <w:pPr>
              <w:pStyle w:val="TableHeading"/>
              <w:rPr>
                <w:rFonts w:cs="Arial"/>
                <w:sz w:val="24"/>
                <w:szCs w:val="24"/>
              </w:rPr>
            </w:pPr>
            <w:r w:rsidRPr="00934DCE">
              <w:rPr>
                <w:rFonts w:cs="Arial"/>
                <w:sz w:val="24"/>
                <w:szCs w:val="24"/>
              </w:rPr>
              <w:t>High</w:t>
            </w:r>
          </w:p>
        </w:tc>
        <w:tc>
          <w:tcPr>
            <w:tcW w:w="819" w:type="pct"/>
            <w:tcBorders>
              <w:top w:val="single" w:sz="12" w:space="0" w:color="auto"/>
              <w:bottom w:val="single" w:sz="12" w:space="0" w:color="auto"/>
            </w:tcBorders>
            <w:shd w:val="clear" w:color="auto" w:fill="D9D9D9"/>
            <w:vAlign w:val="center"/>
          </w:tcPr>
          <w:p w14:paraId="02CC625C" w14:textId="77777777" w:rsidR="006C5C19" w:rsidRPr="00934DCE" w:rsidRDefault="006C5C19" w:rsidP="000D001F">
            <w:pPr>
              <w:pStyle w:val="TableHeading"/>
              <w:rPr>
                <w:rFonts w:cs="Arial"/>
                <w:sz w:val="24"/>
                <w:szCs w:val="24"/>
              </w:rPr>
            </w:pPr>
            <w:r w:rsidRPr="00934DCE">
              <w:rPr>
                <w:rFonts w:cs="Arial"/>
                <w:sz w:val="24"/>
                <w:szCs w:val="24"/>
              </w:rPr>
              <w:t>EXTREME</w:t>
            </w:r>
          </w:p>
        </w:tc>
      </w:tr>
      <w:tr w:rsidR="006C5C19" w:rsidRPr="00934DCE" w14:paraId="6749A8DB" w14:textId="77777777" w:rsidTr="000D001F">
        <w:trPr>
          <w:cantSplit/>
          <w:trHeight w:val="390"/>
        </w:trPr>
        <w:tc>
          <w:tcPr>
            <w:tcW w:w="909" w:type="pct"/>
            <w:vMerge/>
            <w:tcBorders>
              <w:top w:val="nil"/>
              <w:left w:val="single" w:sz="12" w:space="0" w:color="auto"/>
              <w:bottom w:val="single" w:sz="12" w:space="0" w:color="auto"/>
              <w:right w:val="single" w:sz="12" w:space="0" w:color="auto"/>
            </w:tcBorders>
            <w:vAlign w:val="center"/>
          </w:tcPr>
          <w:p w14:paraId="1642F028" w14:textId="77777777" w:rsidR="006C5C19" w:rsidRPr="00934DCE" w:rsidRDefault="006C5C19" w:rsidP="000D001F">
            <w:pPr>
              <w:pStyle w:val="TableText"/>
              <w:rPr>
                <w:rFonts w:cs="Arial"/>
                <w:sz w:val="24"/>
                <w:szCs w:val="24"/>
              </w:rPr>
            </w:pPr>
          </w:p>
        </w:tc>
        <w:tc>
          <w:tcPr>
            <w:tcW w:w="818" w:type="pct"/>
            <w:tcBorders>
              <w:left w:val="single" w:sz="12" w:space="0" w:color="auto"/>
              <w:right w:val="single" w:sz="12" w:space="0" w:color="auto"/>
            </w:tcBorders>
            <w:shd w:val="clear" w:color="auto" w:fill="D9D9D9"/>
            <w:vAlign w:val="center"/>
          </w:tcPr>
          <w:p w14:paraId="2103E202" w14:textId="77777777" w:rsidR="006C5C19" w:rsidRPr="00934DCE" w:rsidRDefault="006C5C19" w:rsidP="000D001F">
            <w:pPr>
              <w:pStyle w:val="TableHeading"/>
              <w:rPr>
                <w:rFonts w:cs="Arial"/>
                <w:sz w:val="24"/>
                <w:szCs w:val="24"/>
              </w:rPr>
            </w:pPr>
            <w:r w:rsidRPr="00934DCE">
              <w:rPr>
                <w:rFonts w:cs="Arial"/>
                <w:sz w:val="24"/>
                <w:szCs w:val="24"/>
              </w:rPr>
              <w:t>Low</w:t>
            </w:r>
          </w:p>
        </w:tc>
        <w:tc>
          <w:tcPr>
            <w:tcW w:w="818" w:type="pct"/>
            <w:tcBorders>
              <w:left w:val="single" w:sz="12" w:space="0" w:color="auto"/>
            </w:tcBorders>
            <w:vAlign w:val="center"/>
          </w:tcPr>
          <w:p w14:paraId="2D023866" w14:textId="77777777" w:rsidR="006C5C19" w:rsidRPr="00934DCE" w:rsidRDefault="006C5C19" w:rsidP="000D001F">
            <w:pPr>
              <w:pStyle w:val="TableText"/>
              <w:jc w:val="center"/>
              <w:rPr>
                <w:rFonts w:cs="Arial"/>
                <w:sz w:val="24"/>
                <w:szCs w:val="24"/>
              </w:rPr>
            </w:pPr>
            <w:r w:rsidRPr="00934DCE">
              <w:rPr>
                <w:rFonts w:cs="Arial"/>
                <w:sz w:val="24"/>
                <w:szCs w:val="24"/>
              </w:rPr>
              <w:t>N</w:t>
            </w:r>
          </w:p>
        </w:tc>
        <w:tc>
          <w:tcPr>
            <w:tcW w:w="818" w:type="pct"/>
            <w:vAlign w:val="center"/>
          </w:tcPr>
          <w:p w14:paraId="493A7A72" w14:textId="77777777" w:rsidR="006C5C19" w:rsidRPr="00934DCE" w:rsidRDefault="006C5C19" w:rsidP="000D001F">
            <w:pPr>
              <w:pStyle w:val="TableText"/>
              <w:jc w:val="center"/>
              <w:rPr>
                <w:rFonts w:cs="Arial"/>
                <w:sz w:val="24"/>
                <w:szCs w:val="24"/>
              </w:rPr>
            </w:pPr>
            <w:r w:rsidRPr="00934DCE">
              <w:rPr>
                <w:rFonts w:cs="Arial"/>
                <w:sz w:val="24"/>
                <w:szCs w:val="24"/>
              </w:rPr>
              <w:t>D</w:t>
            </w:r>
          </w:p>
        </w:tc>
        <w:tc>
          <w:tcPr>
            <w:tcW w:w="818" w:type="pct"/>
            <w:vAlign w:val="center"/>
          </w:tcPr>
          <w:p w14:paraId="637835A3" w14:textId="77777777" w:rsidR="006C5C19" w:rsidRPr="00934DCE" w:rsidRDefault="006C5C19" w:rsidP="000D001F">
            <w:pPr>
              <w:pStyle w:val="TableText"/>
              <w:jc w:val="center"/>
              <w:rPr>
                <w:rFonts w:cs="Arial"/>
                <w:sz w:val="24"/>
                <w:szCs w:val="24"/>
              </w:rPr>
            </w:pPr>
            <w:r w:rsidRPr="00934DCE">
              <w:rPr>
                <w:rFonts w:cs="Arial"/>
                <w:sz w:val="24"/>
                <w:szCs w:val="24"/>
              </w:rPr>
              <w:t>C</w:t>
            </w:r>
          </w:p>
        </w:tc>
        <w:tc>
          <w:tcPr>
            <w:tcW w:w="819" w:type="pct"/>
            <w:vAlign w:val="center"/>
          </w:tcPr>
          <w:p w14:paraId="15AEA055" w14:textId="77777777" w:rsidR="006C5C19" w:rsidRPr="00934DCE" w:rsidRDefault="006C5C19" w:rsidP="000D001F">
            <w:pPr>
              <w:pStyle w:val="TableText"/>
              <w:jc w:val="center"/>
              <w:rPr>
                <w:rFonts w:cs="Arial"/>
                <w:sz w:val="24"/>
                <w:szCs w:val="24"/>
              </w:rPr>
            </w:pPr>
            <w:r w:rsidRPr="00934DCE">
              <w:rPr>
                <w:rFonts w:cs="Arial"/>
                <w:sz w:val="24"/>
                <w:szCs w:val="24"/>
              </w:rPr>
              <w:t>A</w:t>
            </w:r>
          </w:p>
        </w:tc>
      </w:tr>
      <w:tr w:rsidR="006C5C19" w:rsidRPr="00934DCE" w14:paraId="280AFBBA" w14:textId="77777777" w:rsidTr="000D001F">
        <w:trPr>
          <w:cantSplit/>
        </w:trPr>
        <w:tc>
          <w:tcPr>
            <w:tcW w:w="909" w:type="pct"/>
            <w:vMerge/>
            <w:tcBorders>
              <w:top w:val="nil"/>
              <w:left w:val="single" w:sz="12" w:space="0" w:color="auto"/>
              <w:bottom w:val="single" w:sz="12" w:space="0" w:color="auto"/>
              <w:right w:val="single" w:sz="12" w:space="0" w:color="auto"/>
            </w:tcBorders>
            <w:vAlign w:val="center"/>
          </w:tcPr>
          <w:p w14:paraId="0FDFBA72" w14:textId="77777777" w:rsidR="006C5C19" w:rsidRPr="00934DCE" w:rsidRDefault="006C5C19" w:rsidP="000D001F">
            <w:pPr>
              <w:pStyle w:val="TableText"/>
              <w:rPr>
                <w:rFonts w:cs="Arial"/>
                <w:sz w:val="24"/>
                <w:szCs w:val="24"/>
              </w:rPr>
            </w:pPr>
          </w:p>
        </w:tc>
        <w:tc>
          <w:tcPr>
            <w:tcW w:w="818" w:type="pct"/>
            <w:tcBorders>
              <w:left w:val="single" w:sz="12" w:space="0" w:color="auto"/>
              <w:bottom w:val="single" w:sz="6" w:space="0" w:color="auto"/>
              <w:right w:val="single" w:sz="12" w:space="0" w:color="auto"/>
            </w:tcBorders>
            <w:shd w:val="clear" w:color="auto" w:fill="D9D9D9"/>
            <w:vAlign w:val="center"/>
          </w:tcPr>
          <w:p w14:paraId="15005593" w14:textId="77777777" w:rsidR="006C5C19" w:rsidRPr="00934DCE" w:rsidRDefault="006C5C19" w:rsidP="000D001F">
            <w:pPr>
              <w:pStyle w:val="TableHeading"/>
              <w:rPr>
                <w:rFonts w:cs="Arial"/>
                <w:sz w:val="24"/>
                <w:szCs w:val="24"/>
              </w:rPr>
            </w:pPr>
            <w:r w:rsidRPr="00934DCE">
              <w:rPr>
                <w:rFonts w:cs="Arial"/>
                <w:sz w:val="24"/>
                <w:szCs w:val="24"/>
              </w:rPr>
              <w:t>Medium</w:t>
            </w:r>
          </w:p>
        </w:tc>
        <w:tc>
          <w:tcPr>
            <w:tcW w:w="818" w:type="pct"/>
            <w:tcBorders>
              <w:left w:val="single" w:sz="12" w:space="0" w:color="auto"/>
            </w:tcBorders>
            <w:vAlign w:val="center"/>
          </w:tcPr>
          <w:p w14:paraId="48DF97AF" w14:textId="77777777" w:rsidR="006C5C19" w:rsidRPr="00934DCE" w:rsidRDefault="006C5C19" w:rsidP="000D001F">
            <w:pPr>
              <w:pStyle w:val="TableText"/>
              <w:jc w:val="center"/>
              <w:rPr>
                <w:rFonts w:cs="Arial"/>
                <w:sz w:val="24"/>
                <w:szCs w:val="24"/>
              </w:rPr>
            </w:pPr>
            <w:r w:rsidRPr="00934DCE">
              <w:rPr>
                <w:rFonts w:cs="Arial"/>
                <w:sz w:val="24"/>
                <w:szCs w:val="24"/>
              </w:rPr>
              <w:t>D</w:t>
            </w:r>
          </w:p>
        </w:tc>
        <w:tc>
          <w:tcPr>
            <w:tcW w:w="818" w:type="pct"/>
            <w:vAlign w:val="center"/>
          </w:tcPr>
          <w:p w14:paraId="44CADFA7" w14:textId="77777777" w:rsidR="006C5C19" w:rsidRPr="00934DCE" w:rsidRDefault="006C5C19" w:rsidP="000D001F">
            <w:pPr>
              <w:pStyle w:val="TableText"/>
              <w:jc w:val="center"/>
              <w:rPr>
                <w:rFonts w:cs="Arial"/>
                <w:sz w:val="24"/>
                <w:szCs w:val="24"/>
              </w:rPr>
            </w:pPr>
            <w:r w:rsidRPr="00934DCE">
              <w:rPr>
                <w:rFonts w:cs="Arial"/>
                <w:sz w:val="24"/>
                <w:szCs w:val="24"/>
              </w:rPr>
              <w:t>C</w:t>
            </w:r>
          </w:p>
        </w:tc>
        <w:tc>
          <w:tcPr>
            <w:tcW w:w="818" w:type="pct"/>
            <w:vAlign w:val="center"/>
          </w:tcPr>
          <w:p w14:paraId="35F2E3A8" w14:textId="77777777" w:rsidR="006C5C19" w:rsidRPr="00934DCE" w:rsidRDefault="006C5C19" w:rsidP="000D001F">
            <w:pPr>
              <w:pStyle w:val="TableText"/>
              <w:jc w:val="center"/>
              <w:rPr>
                <w:rFonts w:cs="Arial"/>
                <w:sz w:val="24"/>
                <w:szCs w:val="24"/>
              </w:rPr>
            </w:pPr>
            <w:r w:rsidRPr="00934DCE">
              <w:rPr>
                <w:rFonts w:cs="Arial"/>
                <w:sz w:val="24"/>
                <w:szCs w:val="24"/>
              </w:rPr>
              <w:t>B</w:t>
            </w:r>
          </w:p>
        </w:tc>
        <w:tc>
          <w:tcPr>
            <w:tcW w:w="819" w:type="pct"/>
            <w:vAlign w:val="center"/>
          </w:tcPr>
          <w:p w14:paraId="421483A4" w14:textId="77777777" w:rsidR="006C5C19" w:rsidRPr="00934DCE" w:rsidRDefault="006C5C19" w:rsidP="000D001F">
            <w:pPr>
              <w:pStyle w:val="TableText"/>
              <w:jc w:val="center"/>
              <w:rPr>
                <w:rFonts w:cs="Arial"/>
                <w:sz w:val="24"/>
                <w:szCs w:val="24"/>
              </w:rPr>
            </w:pPr>
            <w:r w:rsidRPr="00934DCE">
              <w:rPr>
                <w:rFonts w:cs="Arial"/>
                <w:sz w:val="24"/>
                <w:szCs w:val="24"/>
              </w:rPr>
              <w:t>A</w:t>
            </w:r>
          </w:p>
        </w:tc>
      </w:tr>
      <w:tr w:rsidR="006C5C19" w:rsidRPr="00934DCE" w14:paraId="5E9A341A" w14:textId="77777777" w:rsidTr="000D001F">
        <w:trPr>
          <w:cantSplit/>
        </w:trPr>
        <w:tc>
          <w:tcPr>
            <w:tcW w:w="909" w:type="pct"/>
            <w:vMerge/>
            <w:tcBorders>
              <w:top w:val="nil"/>
              <w:left w:val="single" w:sz="12" w:space="0" w:color="auto"/>
              <w:bottom w:val="single" w:sz="12" w:space="0" w:color="auto"/>
              <w:right w:val="single" w:sz="12" w:space="0" w:color="auto"/>
            </w:tcBorders>
            <w:vAlign w:val="center"/>
          </w:tcPr>
          <w:p w14:paraId="4867DD8B" w14:textId="77777777" w:rsidR="006C5C19" w:rsidRPr="00934DCE" w:rsidRDefault="006C5C19" w:rsidP="000D001F">
            <w:pPr>
              <w:pStyle w:val="TableText"/>
              <w:rPr>
                <w:rFonts w:cs="Arial"/>
                <w:sz w:val="24"/>
                <w:szCs w:val="24"/>
              </w:rPr>
            </w:pPr>
          </w:p>
        </w:tc>
        <w:tc>
          <w:tcPr>
            <w:tcW w:w="818" w:type="pct"/>
            <w:tcBorders>
              <w:left w:val="single" w:sz="12" w:space="0" w:color="auto"/>
              <w:bottom w:val="single" w:sz="12" w:space="0" w:color="auto"/>
              <w:right w:val="single" w:sz="12" w:space="0" w:color="auto"/>
            </w:tcBorders>
            <w:shd w:val="clear" w:color="auto" w:fill="D9D9D9"/>
            <w:vAlign w:val="center"/>
          </w:tcPr>
          <w:p w14:paraId="53AB0891" w14:textId="77777777" w:rsidR="006C5C19" w:rsidRPr="00934DCE" w:rsidRDefault="006C5C19" w:rsidP="000D001F">
            <w:pPr>
              <w:pStyle w:val="TableHeading"/>
              <w:rPr>
                <w:rFonts w:cs="Arial"/>
                <w:sz w:val="24"/>
                <w:szCs w:val="24"/>
              </w:rPr>
            </w:pPr>
            <w:r w:rsidRPr="00934DCE">
              <w:rPr>
                <w:rFonts w:cs="Arial"/>
                <w:sz w:val="24"/>
                <w:szCs w:val="24"/>
              </w:rPr>
              <w:t>High</w:t>
            </w:r>
          </w:p>
        </w:tc>
        <w:tc>
          <w:tcPr>
            <w:tcW w:w="818" w:type="pct"/>
            <w:tcBorders>
              <w:left w:val="single" w:sz="12" w:space="0" w:color="auto"/>
            </w:tcBorders>
            <w:vAlign w:val="center"/>
          </w:tcPr>
          <w:p w14:paraId="6374922B" w14:textId="77777777" w:rsidR="006C5C19" w:rsidRPr="00934DCE" w:rsidRDefault="006C5C19" w:rsidP="000D001F">
            <w:pPr>
              <w:pStyle w:val="TableText"/>
              <w:jc w:val="center"/>
              <w:rPr>
                <w:rFonts w:cs="Arial"/>
                <w:sz w:val="24"/>
                <w:szCs w:val="24"/>
              </w:rPr>
            </w:pPr>
            <w:r w:rsidRPr="00934DCE">
              <w:rPr>
                <w:rFonts w:cs="Arial"/>
                <w:sz w:val="24"/>
                <w:szCs w:val="24"/>
              </w:rPr>
              <w:t>C</w:t>
            </w:r>
          </w:p>
        </w:tc>
        <w:tc>
          <w:tcPr>
            <w:tcW w:w="818" w:type="pct"/>
            <w:vAlign w:val="center"/>
          </w:tcPr>
          <w:p w14:paraId="0A186041" w14:textId="77777777" w:rsidR="006C5C19" w:rsidRPr="00934DCE" w:rsidRDefault="006C5C19" w:rsidP="000D001F">
            <w:pPr>
              <w:pStyle w:val="TableText"/>
              <w:jc w:val="center"/>
              <w:rPr>
                <w:rFonts w:cs="Arial"/>
                <w:sz w:val="24"/>
                <w:szCs w:val="24"/>
              </w:rPr>
            </w:pPr>
            <w:r w:rsidRPr="00934DCE">
              <w:rPr>
                <w:rFonts w:cs="Arial"/>
                <w:sz w:val="24"/>
                <w:szCs w:val="24"/>
              </w:rPr>
              <w:t>B</w:t>
            </w:r>
          </w:p>
        </w:tc>
        <w:tc>
          <w:tcPr>
            <w:tcW w:w="818" w:type="pct"/>
            <w:vAlign w:val="center"/>
          </w:tcPr>
          <w:p w14:paraId="64314EEA" w14:textId="77777777" w:rsidR="006C5C19" w:rsidRPr="00934DCE" w:rsidRDefault="006C5C19" w:rsidP="000D001F">
            <w:pPr>
              <w:pStyle w:val="TableText"/>
              <w:jc w:val="center"/>
              <w:rPr>
                <w:rFonts w:cs="Arial"/>
                <w:sz w:val="24"/>
                <w:szCs w:val="24"/>
              </w:rPr>
            </w:pPr>
            <w:r w:rsidRPr="00934DCE">
              <w:rPr>
                <w:rFonts w:cs="Arial"/>
                <w:sz w:val="24"/>
                <w:szCs w:val="24"/>
              </w:rPr>
              <w:t>A</w:t>
            </w:r>
          </w:p>
        </w:tc>
        <w:tc>
          <w:tcPr>
            <w:tcW w:w="819" w:type="pct"/>
            <w:vAlign w:val="center"/>
          </w:tcPr>
          <w:p w14:paraId="52AD54C7" w14:textId="77777777" w:rsidR="006C5C19" w:rsidRPr="00934DCE" w:rsidRDefault="006C5C19" w:rsidP="000D001F">
            <w:pPr>
              <w:pStyle w:val="TableText"/>
              <w:jc w:val="center"/>
              <w:rPr>
                <w:rFonts w:cs="Arial"/>
                <w:sz w:val="24"/>
                <w:szCs w:val="24"/>
              </w:rPr>
            </w:pPr>
            <w:r w:rsidRPr="00934DCE">
              <w:rPr>
                <w:rFonts w:cs="Arial"/>
                <w:sz w:val="24"/>
                <w:szCs w:val="24"/>
              </w:rPr>
              <w:t>A</w:t>
            </w:r>
          </w:p>
        </w:tc>
      </w:tr>
    </w:tbl>
    <w:p w14:paraId="5CCDB32B" w14:textId="77777777" w:rsidR="006C5C19" w:rsidRDefault="006C5C19" w:rsidP="006C5C19">
      <w:pPr>
        <w:rPr>
          <w:rFonts w:cs="Arial"/>
          <w:iCs/>
          <w:sz w:val="24"/>
          <w:szCs w:val="24"/>
        </w:rPr>
      </w:pPr>
      <w:r w:rsidRPr="00934DCE">
        <w:rPr>
          <w:rFonts w:cs="Arial"/>
          <w:iCs/>
          <w:sz w:val="24"/>
          <w:szCs w:val="24"/>
        </w:rPr>
        <w:t>The ratings for likelihood and seriousness determine a current grading for each risk that in turn provides a measure of the project risk exposure at the time of the evaluation.</w:t>
      </w:r>
    </w:p>
    <w:p w14:paraId="5A5F5DC6" w14:textId="77777777" w:rsidR="006C5C19" w:rsidRPr="00B429FF" w:rsidRDefault="006C5C19" w:rsidP="006C5C19">
      <w:pPr>
        <w:rPr>
          <w:rFonts w:cs="Arial"/>
          <w:b/>
          <w:iCs/>
          <w:sz w:val="24"/>
          <w:szCs w:val="24"/>
          <w:u w:val="single"/>
        </w:rPr>
      </w:pPr>
      <w:r w:rsidRPr="00B429FF">
        <w:rPr>
          <w:rFonts w:cs="Arial"/>
          <w:b/>
          <w:iCs/>
          <w:sz w:val="24"/>
          <w:szCs w:val="24"/>
          <w:u w:val="single"/>
        </w:rPr>
        <w:t>Loss of Data</w:t>
      </w:r>
    </w:p>
    <w:p w14:paraId="179D5703" w14:textId="77777777" w:rsidR="006C5C19" w:rsidRDefault="006C5C19" w:rsidP="006C5C19">
      <w:pPr>
        <w:rPr>
          <w:rFonts w:cs="Arial"/>
          <w:iCs/>
          <w:sz w:val="24"/>
          <w:szCs w:val="24"/>
        </w:rPr>
      </w:pPr>
      <w:r>
        <w:rPr>
          <w:rFonts w:cs="Arial"/>
          <w:iCs/>
          <w:sz w:val="24"/>
          <w:szCs w:val="24"/>
        </w:rPr>
        <w:t>It is believed that currently the Head of Chambers can conclude that the likelihood of there being a loss of data is very low and therefore not serious. This is because TCC currently works from serviced offices with no data as it has no servers or computers.</w:t>
      </w:r>
    </w:p>
    <w:p w14:paraId="0A1FDF04" w14:textId="77777777" w:rsidR="006C5C19" w:rsidRDefault="006C5C19" w:rsidP="006C5C19">
      <w:pPr>
        <w:rPr>
          <w:rFonts w:cs="Arial"/>
          <w:iCs/>
          <w:sz w:val="24"/>
          <w:szCs w:val="24"/>
        </w:rPr>
      </w:pPr>
      <w:r>
        <w:rPr>
          <w:rFonts w:cs="Arial"/>
          <w:iCs/>
          <w:sz w:val="24"/>
          <w:szCs w:val="24"/>
        </w:rPr>
        <w:lastRenderedPageBreak/>
        <w:t xml:space="preserve">In </w:t>
      </w:r>
      <w:proofErr w:type="gramStart"/>
      <w:r>
        <w:rPr>
          <w:rFonts w:cs="Arial"/>
          <w:iCs/>
          <w:sz w:val="24"/>
          <w:szCs w:val="24"/>
        </w:rPr>
        <w:t>addition</w:t>
      </w:r>
      <w:proofErr w:type="gramEnd"/>
      <w:r>
        <w:rPr>
          <w:rFonts w:cs="Arial"/>
          <w:iCs/>
          <w:sz w:val="24"/>
          <w:szCs w:val="24"/>
        </w:rPr>
        <w:t xml:space="preserve"> the system previously used by the clerks is the LEX online management system. This system stores and records all incoming case details, aged debts, payment summary, percentage breakdowns for the calculation of professional indemnity insurance and so on. The system is currently designed so that it is online and therefore not susceptible to data loss. In </w:t>
      </w:r>
      <w:proofErr w:type="gramStart"/>
      <w:r>
        <w:rPr>
          <w:rFonts w:cs="Arial"/>
          <w:iCs/>
          <w:sz w:val="24"/>
          <w:szCs w:val="24"/>
        </w:rPr>
        <w:t>addition</w:t>
      </w:r>
      <w:proofErr w:type="gramEnd"/>
      <w:r>
        <w:rPr>
          <w:rFonts w:cs="Arial"/>
          <w:iCs/>
          <w:sz w:val="24"/>
          <w:szCs w:val="24"/>
        </w:rPr>
        <w:t xml:space="preserve"> all our data is backed up by LEX.</w:t>
      </w:r>
    </w:p>
    <w:p w14:paraId="03BB5687" w14:textId="77777777" w:rsidR="006C5C19" w:rsidRDefault="006C5C19" w:rsidP="006C5C19">
      <w:pPr>
        <w:rPr>
          <w:rFonts w:cs="Arial"/>
          <w:iCs/>
          <w:sz w:val="24"/>
          <w:szCs w:val="24"/>
        </w:rPr>
      </w:pPr>
      <w:r>
        <w:rPr>
          <w:rFonts w:cs="Arial"/>
          <w:iCs/>
          <w:sz w:val="24"/>
          <w:szCs w:val="24"/>
        </w:rPr>
        <w:t xml:space="preserve">In respect of paper files, chambers currently </w:t>
      </w:r>
      <w:proofErr w:type="gramStart"/>
      <w:r>
        <w:rPr>
          <w:rFonts w:cs="Arial"/>
          <w:iCs/>
          <w:sz w:val="24"/>
          <w:szCs w:val="24"/>
        </w:rPr>
        <w:t>has</w:t>
      </w:r>
      <w:proofErr w:type="gramEnd"/>
      <w:r>
        <w:rPr>
          <w:rFonts w:cs="Arial"/>
          <w:iCs/>
          <w:sz w:val="24"/>
          <w:szCs w:val="24"/>
        </w:rPr>
        <w:t xml:space="preserve"> in place a system which involves returning all briefs to firms of solicitors or in the case of direct access clients, to the lay client. Papers are now received electronically and printed out and placed in members pigeonholes and/or simply forwarded to individual members. As such it is not believed that any data loss is possible or likely.</w:t>
      </w:r>
    </w:p>
    <w:p w14:paraId="44F323C1" w14:textId="77777777" w:rsidR="006C5C19" w:rsidRPr="00FF6CFB" w:rsidRDefault="006C5C19" w:rsidP="006C5C19">
      <w:pPr>
        <w:rPr>
          <w:rFonts w:cs="Arial"/>
          <w:iCs/>
          <w:sz w:val="24"/>
          <w:szCs w:val="24"/>
        </w:rPr>
      </w:pPr>
      <w:r>
        <w:rPr>
          <w:rFonts w:cs="Arial"/>
          <w:iCs/>
          <w:sz w:val="24"/>
          <w:szCs w:val="24"/>
        </w:rPr>
        <w:t>In future and from the date of this document, the Head of Chambers will consider and review the risks involved in respect of potential data loss and shall minute any discussions on this topic.</w:t>
      </w:r>
    </w:p>
    <w:p w14:paraId="3EAF6B1F" w14:textId="77777777" w:rsidR="006C5C19" w:rsidRPr="00480B2D" w:rsidRDefault="006C5C19" w:rsidP="006C5C19">
      <w:pPr>
        <w:rPr>
          <w:rFonts w:cs="Arial"/>
          <w:b/>
          <w:iCs/>
          <w:sz w:val="24"/>
          <w:szCs w:val="24"/>
          <w:u w:val="single"/>
        </w:rPr>
      </w:pPr>
      <w:r w:rsidRPr="00480B2D">
        <w:rPr>
          <w:rFonts w:cs="Arial"/>
          <w:b/>
          <w:iCs/>
          <w:sz w:val="24"/>
          <w:szCs w:val="24"/>
          <w:u w:val="single"/>
        </w:rPr>
        <w:t>Departure of members of Chambers</w:t>
      </w:r>
    </w:p>
    <w:p w14:paraId="6AAD4D17" w14:textId="77777777" w:rsidR="006C5C19" w:rsidRDefault="006C5C19" w:rsidP="006C5C19">
      <w:pPr>
        <w:rPr>
          <w:rFonts w:cs="Arial"/>
          <w:iCs/>
          <w:sz w:val="24"/>
          <w:szCs w:val="24"/>
        </w:rPr>
      </w:pPr>
      <w:r>
        <w:rPr>
          <w:rFonts w:cs="Arial"/>
          <w:iCs/>
          <w:sz w:val="24"/>
          <w:szCs w:val="24"/>
        </w:rPr>
        <w:t>TCC currently has two members of chambers who are full members and 5 door tenants.</w:t>
      </w:r>
    </w:p>
    <w:p w14:paraId="15735A7A" w14:textId="77777777" w:rsidR="006C5C19" w:rsidRDefault="006C5C19" w:rsidP="006C5C19">
      <w:pPr>
        <w:rPr>
          <w:rFonts w:cs="Arial"/>
          <w:iCs/>
          <w:sz w:val="24"/>
          <w:szCs w:val="24"/>
        </w:rPr>
      </w:pPr>
      <w:r>
        <w:rPr>
          <w:rFonts w:cs="Arial"/>
          <w:iCs/>
          <w:sz w:val="24"/>
          <w:szCs w:val="24"/>
        </w:rPr>
        <w:t xml:space="preserve">The potential large scale or </w:t>
      </w:r>
      <w:proofErr w:type="gramStart"/>
      <w:r>
        <w:rPr>
          <w:rFonts w:cs="Arial"/>
          <w:iCs/>
          <w:sz w:val="24"/>
          <w:szCs w:val="24"/>
        </w:rPr>
        <w:t>small scale</w:t>
      </w:r>
      <w:proofErr w:type="gramEnd"/>
      <w:r>
        <w:rPr>
          <w:rFonts w:cs="Arial"/>
          <w:iCs/>
          <w:sz w:val="24"/>
          <w:szCs w:val="24"/>
        </w:rPr>
        <w:t xml:space="preserve"> departure of members is a continuing risk and should always be viewed as a continuing risk, but at this stage this risk is negligible.</w:t>
      </w:r>
    </w:p>
    <w:p w14:paraId="0562BC1C" w14:textId="77777777" w:rsidR="006C5C19" w:rsidRDefault="006C5C19" w:rsidP="006C5C19">
      <w:pPr>
        <w:rPr>
          <w:rFonts w:cs="Arial"/>
          <w:iCs/>
          <w:sz w:val="24"/>
          <w:szCs w:val="24"/>
        </w:rPr>
      </w:pPr>
      <w:r>
        <w:rPr>
          <w:rFonts w:cs="Arial"/>
          <w:iCs/>
          <w:sz w:val="24"/>
          <w:szCs w:val="24"/>
        </w:rPr>
        <w:t xml:space="preserve">Chambers has in the past regularly recruited </w:t>
      </w:r>
      <w:proofErr w:type="gramStart"/>
      <w:r>
        <w:rPr>
          <w:rFonts w:cs="Arial"/>
          <w:iCs/>
          <w:sz w:val="24"/>
          <w:szCs w:val="24"/>
        </w:rPr>
        <w:t>pupils(</w:t>
      </w:r>
      <w:proofErr w:type="gramEnd"/>
      <w:r>
        <w:rPr>
          <w:rFonts w:cs="Arial"/>
          <w:iCs/>
          <w:sz w:val="24"/>
          <w:szCs w:val="24"/>
        </w:rPr>
        <w:t>with a pause in light of the pandemic) and the Head of Chambers believes it should develop its membership from pupils.</w:t>
      </w:r>
    </w:p>
    <w:p w14:paraId="37D74415" w14:textId="77777777" w:rsidR="006C5C19" w:rsidRDefault="006C5C19" w:rsidP="006C5C19">
      <w:pPr>
        <w:rPr>
          <w:rFonts w:cs="Arial"/>
          <w:iCs/>
          <w:sz w:val="24"/>
          <w:szCs w:val="24"/>
        </w:rPr>
      </w:pPr>
      <w:r>
        <w:rPr>
          <w:rFonts w:cs="Arial"/>
          <w:iCs/>
          <w:sz w:val="24"/>
          <w:szCs w:val="24"/>
        </w:rPr>
        <w:t xml:space="preserve">In </w:t>
      </w:r>
      <w:proofErr w:type="gramStart"/>
      <w:r>
        <w:rPr>
          <w:rFonts w:cs="Arial"/>
          <w:iCs/>
          <w:sz w:val="24"/>
          <w:szCs w:val="24"/>
        </w:rPr>
        <w:t>addition</w:t>
      </w:r>
      <w:proofErr w:type="gramEnd"/>
      <w:r>
        <w:rPr>
          <w:rFonts w:cs="Arial"/>
          <w:iCs/>
          <w:sz w:val="24"/>
          <w:szCs w:val="24"/>
        </w:rPr>
        <w:t xml:space="preserve"> the Head of Chambers believes that henceforth TCC should advertise for new members on a regular 6 monthly cycle.</w:t>
      </w:r>
    </w:p>
    <w:p w14:paraId="585B9F29" w14:textId="77777777" w:rsidR="006C5C19" w:rsidRDefault="006C5C19" w:rsidP="006C5C19">
      <w:pPr>
        <w:rPr>
          <w:rFonts w:cs="Arial"/>
          <w:b/>
          <w:iCs/>
          <w:sz w:val="24"/>
          <w:szCs w:val="24"/>
          <w:u w:val="single"/>
        </w:rPr>
      </w:pPr>
      <w:r w:rsidRPr="003946EF">
        <w:rPr>
          <w:rFonts w:cs="Arial"/>
          <w:b/>
          <w:iCs/>
          <w:sz w:val="24"/>
          <w:szCs w:val="24"/>
          <w:u w:val="single"/>
        </w:rPr>
        <w:t>Budget Forecasts</w:t>
      </w:r>
    </w:p>
    <w:p w14:paraId="4DF5D750" w14:textId="77777777" w:rsidR="006C5C19" w:rsidRPr="003946EF" w:rsidRDefault="006C5C19" w:rsidP="006C5C19">
      <w:pPr>
        <w:rPr>
          <w:rFonts w:cs="Arial"/>
          <w:iCs/>
          <w:sz w:val="24"/>
          <w:szCs w:val="24"/>
        </w:rPr>
      </w:pPr>
      <w:r>
        <w:rPr>
          <w:rFonts w:cs="Arial"/>
          <w:iCs/>
          <w:sz w:val="24"/>
          <w:szCs w:val="24"/>
        </w:rPr>
        <w:t xml:space="preserve">Budget forecasts are fundamental to the development of chambers. Budget forecasts not being met are regarded as a medium risk at present. TCC must regularly review its budget forecasts and the Head of Chambers must consider budget forecasts </w:t>
      </w:r>
      <w:proofErr w:type="gramStart"/>
      <w:r>
        <w:rPr>
          <w:rFonts w:cs="Arial"/>
          <w:iCs/>
          <w:sz w:val="24"/>
          <w:szCs w:val="24"/>
        </w:rPr>
        <w:t>on a monthly basis</w:t>
      </w:r>
      <w:proofErr w:type="gramEnd"/>
      <w:r>
        <w:rPr>
          <w:rFonts w:cs="Arial"/>
          <w:iCs/>
          <w:sz w:val="24"/>
          <w:szCs w:val="24"/>
        </w:rPr>
        <w:t xml:space="preserve"> and keep clear records.</w:t>
      </w:r>
    </w:p>
    <w:p w14:paraId="6B51F5B8" w14:textId="77777777" w:rsidR="006C5C19" w:rsidRDefault="006C5C19" w:rsidP="006C5C19">
      <w:pPr>
        <w:rPr>
          <w:rFonts w:cs="Arial"/>
          <w:iCs/>
          <w:sz w:val="24"/>
          <w:szCs w:val="24"/>
        </w:rPr>
      </w:pPr>
      <w:r>
        <w:rPr>
          <w:rFonts w:cs="Arial"/>
          <w:iCs/>
          <w:sz w:val="24"/>
          <w:szCs w:val="24"/>
        </w:rPr>
        <w:t>It has been determined that henceforth TCC should develop budget forecasts on an annual basis.</w:t>
      </w:r>
    </w:p>
    <w:p w14:paraId="424C95FF" w14:textId="77777777" w:rsidR="006C5C19" w:rsidRDefault="006C5C19" w:rsidP="006C5C19">
      <w:pPr>
        <w:rPr>
          <w:rFonts w:cs="Arial"/>
          <w:iCs/>
          <w:sz w:val="24"/>
          <w:szCs w:val="24"/>
        </w:rPr>
      </w:pPr>
      <w:r>
        <w:rPr>
          <w:rFonts w:cs="Arial"/>
          <w:iCs/>
          <w:sz w:val="24"/>
          <w:szCs w:val="24"/>
        </w:rPr>
        <w:t>TCC employs a firm of chartered accountants. The Head of Chambers has resolved that henceforth the accountants should be given instructions and that such instructions should be renewed by the Head of Chambers on an annual basis.</w:t>
      </w:r>
      <w:bookmarkStart w:id="18" w:name="_Toc475330446"/>
      <w:bookmarkStart w:id="19" w:name="_Toc40155092"/>
      <w:bookmarkStart w:id="20" w:name="_Toc61232860"/>
      <w:bookmarkStart w:id="21" w:name="_Toc61237712"/>
      <w:bookmarkStart w:id="22" w:name="_Toc61489857"/>
      <w:bookmarkStart w:id="23" w:name="_Toc176060728"/>
    </w:p>
    <w:p w14:paraId="0F231EBF" w14:textId="77777777" w:rsidR="006C5C19" w:rsidRDefault="006C5C19" w:rsidP="006C5C19">
      <w:pPr>
        <w:rPr>
          <w:rFonts w:cs="Arial"/>
          <w:b/>
          <w:iCs/>
          <w:sz w:val="24"/>
          <w:szCs w:val="24"/>
          <w:u w:val="single"/>
        </w:rPr>
      </w:pPr>
      <w:r w:rsidRPr="0041108D">
        <w:rPr>
          <w:rFonts w:cs="Arial"/>
          <w:b/>
          <w:iCs/>
          <w:sz w:val="24"/>
          <w:szCs w:val="24"/>
          <w:u w:val="single"/>
        </w:rPr>
        <w:t>Insufficient Work for Members of Chambers</w:t>
      </w:r>
    </w:p>
    <w:p w14:paraId="515F4753" w14:textId="77777777" w:rsidR="006C5C19" w:rsidRDefault="006C5C19" w:rsidP="006C5C19">
      <w:pPr>
        <w:rPr>
          <w:rFonts w:cs="Arial"/>
          <w:iCs/>
          <w:sz w:val="24"/>
          <w:szCs w:val="24"/>
        </w:rPr>
      </w:pPr>
      <w:r>
        <w:rPr>
          <w:rFonts w:cs="Arial"/>
          <w:iCs/>
          <w:sz w:val="24"/>
          <w:szCs w:val="24"/>
        </w:rPr>
        <w:lastRenderedPageBreak/>
        <w:t xml:space="preserve">This is an ongoing risk for chambers. Lack of work has the effect of members considering alternative chambers. TCC believes that the best way forward is to ensure the marketing of members on a regular and consistent basis, in conjunction with members wishes. </w:t>
      </w:r>
    </w:p>
    <w:p w14:paraId="4F400EFF" w14:textId="77777777" w:rsidR="006C5C19" w:rsidRDefault="006C5C19" w:rsidP="006C5C19">
      <w:pPr>
        <w:rPr>
          <w:rFonts w:cs="Arial"/>
          <w:iCs/>
          <w:sz w:val="24"/>
          <w:szCs w:val="24"/>
        </w:rPr>
      </w:pPr>
      <w:r>
        <w:rPr>
          <w:rFonts w:cs="Arial"/>
          <w:iCs/>
          <w:sz w:val="24"/>
          <w:szCs w:val="24"/>
        </w:rPr>
        <w:t>Chambers appreciates that some members may want a small practice and others a busy practice. TCC therefore will endeavour as always to ascertain the wishes of members on an annual basis.</w:t>
      </w:r>
    </w:p>
    <w:p w14:paraId="678C304A" w14:textId="77777777" w:rsidR="006C5C19" w:rsidRPr="0041108D" w:rsidRDefault="006C5C19" w:rsidP="006C5C19">
      <w:pPr>
        <w:rPr>
          <w:rFonts w:cs="Arial"/>
          <w:b/>
          <w:iCs/>
          <w:sz w:val="24"/>
          <w:szCs w:val="24"/>
          <w:u w:val="single"/>
        </w:rPr>
      </w:pPr>
      <w:r w:rsidRPr="0041108D">
        <w:rPr>
          <w:rFonts w:cs="Arial"/>
          <w:b/>
          <w:iCs/>
          <w:sz w:val="24"/>
          <w:szCs w:val="24"/>
          <w:u w:val="single"/>
        </w:rPr>
        <w:t>The Burden of Regulation</w:t>
      </w:r>
    </w:p>
    <w:p w14:paraId="0825770E" w14:textId="77777777" w:rsidR="006C5C19" w:rsidRPr="007B2475" w:rsidRDefault="006C5C19" w:rsidP="006C5C19">
      <w:pPr>
        <w:rPr>
          <w:rFonts w:cs="Arial"/>
          <w:iCs/>
          <w:sz w:val="24"/>
          <w:szCs w:val="24"/>
        </w:rPr>
      </w:pPr>
      <w:r>
        <w:rPr>
          <w:rFonts w:cs="Arial"/>
          <w:iCs/>
          <w:sz w:val="24"/>
          <w:szCs w:val="24"/>
        </w:rPr>
        <w:t xml:space="preserve">The compliance with BSB regulation requires members of chambers to dedicate to not only being up to date with </w:t>
      </w:r>
      <w:proofErr w:type="gramStart"/>
      <w:r>
        <w:rPr>
          <w:rFonts w:cs="Arial"/>
          <w:iCs/>
          <w:sz w:val="24"/>
          <w:szCs w:val="24"/>
        </w:rPr>
        <w:t>regulation, but</w:t>
      </w:r>
      <w:proofErr w:type="gramEnd"/>
      <w:r>
        <w:rPr>
          <w:rFonts w:cs="Arial"/>
          <w:iCs/>
          <w:sz w:val="24"/>
          <w:szCs w:val="24"/>
        </w:rPr>
        <w:t xml:space="preserve"> ensuring that such regulation is dealt with proactively and positively. TCC appreciates that such work in a small set, with limited resources and limited spare human capacity, places a significant burden on members, and certainly on the Head of Chambers. TCC notes that in terms of hours dedicated to regulation work per year, it is notable that it can be as high as 200 hours per year. The risk therefore of Head of Chambers not able to carry out these functions is significant and may feel going to a large set would simply reduce the burden and allow them to focus on their practice. The likelihood is </w:t>
      </w:r>
      <w:proofErr w:type="gramStart"/>
      <w:r>
        <w:rPr>
          <w:rFonts w:cs="Arial"/>
          <w:iCs/>
          <w:sz w:val="24"/>
          <w:szCs w:val="24"/>
        </w:rPr>
        <w:t>medium</w:t>
      </w:r>
      <w:proofErr w:type="gramEnd"/>
      <w:r>
        <w:rPr>
          <w:rFonts w:cs="Arial"/>
          <w:iCs/>
          <w:sz w:val="24"/>
          <w:szCs w:val="24"/>
        </w:rPr>
        <w:t xml:space="preserve"> and the seriousness is high. </w:t>
      </w:r>
      <w:r w:rsidRPr="007B2475">
        <w:rPr>
          <w:rFonts w:cs="Arial"/>
          <w:iCs/>
          <w:sz w:val="24"/>
          <w:szCs w:val="24"/>
        </w:rPr>
        <w:t>TCC will therefore need to actively en</w:t>
      </w:r>
      <w:r>
        <w:rPr>
          <w:rFonts w:cs="Arial"/>
          <w:iCs/>
          <w:sz w:val="24"/>
          <w:szCs w:val="24"/>
        </w:rPr>
        <w:t>gag</w:t>
      </w:r>
      <w:r w:rsidRPr="007B2475">
        <w:rPr>
          <w:rFonts w:cs="Arial"/>
          <w:iCs/>
          <w:sz w:val="24"/>
          <w:szCs w:val="24"/>
        </w:rPr>
        <w:t>e in discussions with the BSB.</w:t>
      </w:r>
    </w:p>
    <w:p w14:paraId="20550458" w14:textId="77777777" w:rsidR="006C5C19" w:rsidRPr="0041108D" w:rsidRDefault="006C5C19" w:rsidP="006C5C19">
      <w:pPr>
        <w:rPr>
          <w:rFonts w:cs="Arial"/>
          <w:iCs/>
          <w:sz w:val="24"/>
          <w:szCs w:val="24"/>
        </w:rPr>
      </w:pPr>
    </w:p>
    <w:p w14:paraId="7894568B" w14:textId="77777777" w:rsidR="006C5C19" w:rsidRPr="00C26463" w:rsidRDefault="006C5C19" w:rsidP="006C5C19">
      <w:pPr>
        <w:pStyle w:val="ListParagraph"/>
        <w:numPr>
          <w:ilvl w:val="0"/>
          <w:numId w:val="4"/>
        </w:numPr>
        <w:rPr>
          <w:rFonts w:cs="Arial"/>
          <w:b/>
          <w:iCs/>
          <w:sz w:val="24"/>
          <w:szCs w:val="24"/>
          <w:u w:val="single"/>
        </w:rPr>
      </w:pPr>
      <w:r w:rsidRPr="00C26463">
        <w:rPr>
          <w:b/>
          <w:sz w:val="24"/>
          <w:szCs w:val="24"/>
          <w:u w:val="single"/>
        </w:rPr>
        <w:t xml:space="preserve">Risk </w:t>
      </w:r>
      <w:bookmarkEnd w:id="18"/>
      <w:r w:rsidRPr="00C26463">
        <w:rPr>
          <w:b/>
          <w:sz w:val="24"/>
          <w:szCs w:val="24"/>
          <w:u w:val="single"/>
        </w:rPr>
        <w:t>Mitigation</w:t>
      </w:r>
      <w:bookmarkEnd w:id="19"/>
      <w:bookmarkEnd w:id="20"/>
      <w:bookmarkEnd w:id="21"/>
      <w:bookmarkEnd w:id="22"/>
      <w:bookmarkEnd w:id="23"/>
    </w:p>
    <w:p w14:paraId="6DC903A3" w14:textId="77777777" w:rsidR="006C5C19" w:rsidRPr="00934DCE" w:rsidRDefault="006C5C19" w:rsidP="006C5C19">
      <w:pPr>
        <w:rPr>
          <w:rFonts w:cs="Arial"/>
          <w:iCs/>
          <w:sz w:val="24"/>
          <w:szCs w:val="24"/>
        </w:rPr>
      </w:pPr>
      <w:r w:rsidRPr="00934DCE">
        <w:rPr>
          <w:rFonts w:cs="Arial"/>
          <w:iCs/>
          <w:sz w:val="24"/>
          <w:szCs w:val="24"/>
        </w:rPr>
        <w:t>Mitigation of risks involves the identification of actions to reduce the likelihood that a threat will occur (preventative action) and/or reduce the impact of a threat that does occur (contingency action).  This strategy also involves ide</w:t>
      </w:r>
      <w:r>
        <w:rPr>
          <w:rFonts w:cs="Arial"/>
          <w:iCs/>
          <w:sz w:val="24"/>
          <w:szCs w:val="24"/>
        </w:rPr>
        <w:t xml:space="preserve">ntifying </w:t>
      </w:r>
      <w:r w:rsidRPr="00934DCE">
        <w:rPr>
          <w:rFonts w:cs="Arial"/>
          <w:iCs/>
          <w:sz w:val="24"/>
          <w:szCs w:val="24"/>
        </w:rPr>
        <w:t>when the action should be</w:t>
      </w:r>
      <w:r>
        <w:rPr>
          <w:rFonts w:cs="Arial"/>
          <w:iCs/>
          <w:sz w:val="24"/>
          <w:szCs w:val="24"/>
        </w:rPr>
        <w:t xml:space="preserve"> undertaken.</w:t>
      </w:r>
    </w:p>
    <w:p w14:paraId="539D68D8" w14:textId="77777777" w:rsidR="006C5C19" w:rsidRDefault="006C5C19" w:rsidP="006C5C19">
      <w:pPr>
        <w:spacing w:after="240" w:afterAutospacing="0"/>
        <w:rPr>
          <w:rFonts w:cs="Arial"/>
          <w:iCs/>
          <w:sz w:val="24"/>
          <w:szCs w:val="24"/>
        </w:rPr>
      </w:pPr>
      <w:r w:rsidRPr="00934DCE">
        <w:rPr>
          <w:rFonts w:cs="Arial"/>
          <w:iCs/>
          <w:sz w:val="24"/>
          <w:szCs w:val="24"/>
        </w:rPr>
        <w:t xml:space="preserve">Risk mitigation strategies to reduce the chance that a risk will be realised and/or reduce the seriousness of a </w:t>
      </w:r>
      <w:r>
        <w:rPr>
          <w:rFonts w:cs="Arial"/>
          <w:iCs/>
          <w:sz w:val="24"/>
          <w:szCs w:val="24"/>
        </w:rPr>
        <w:t>risk if it is realised should be</w:t>
      </w:r>
      <w:r w:rsidRPr="00934DCE">
        <w:rPr>
          <w:rFonts w:cs="Arial"/>
          <w:iCs/>
          <w:sz w:val="24"/>
          <w:szCs w:val="24"/>
        </w:rPr>
        <w:t xml:space="preserve"> developed</w:t>
      </w:r>
      <w:r>
        <w:rPr>
          <w:rFonts w:cs="Arial"/>
          <w:iCs/>
          <w:sz w:val="24"/>
          <w:szCs w:val="24"/>
        </w:rPr>
        <w:t xml:space="preserve"> when required</w:t>
      </w:r>
      <w:r w:rsidRPr="00934DCE">
        <w:rPr>
          <w:rFonts w:cs="Arial"/>
          <w:iCs/>
          <w:sz w:val="24"/>
          <w:szCs w:val="24"/>
        </w:rPr>
        <w:t xml:space="preserve">.  </w:t>
      </w:r>
    </w:p>
    <w:p w14:paraId="58CBFE35" w14:textId="77777777" w:rsidR="006C5C19" w:rsidRDefault="006C5C19" w:rsidP="006C5C19">
      <w:pPr>
        <w:spacing w:after="240" w:afterAutospacing="0"/>
        <w:rPr>
          <w:rFonts w:cs="Arial"/>
          <w:iCs/>
          <w:sz w:val="24"/>
          <w:szCs w:val="24"/>
        </w:rPr>
      </w:pPr>
      <w:r w:rsidRPr="00934DCE">
        <w:rPr>
          <w:rFonts w:cs="Arial"/>
          <w:iCs/>
          <w:sz w:val="24"/>
          <w:szCs w:val="24"/>
        </w:rPr>
        <w:t>The following table is useful to determine how risks will be treated in terms of preparation and/or depl</w:t>
      </w:r>
      <w:r>
        <w:rPr>
          <w:rFonts w:cs="Arial"/>
          <w:iCs/>
          <w:sz w:val="24"/>
          <w:szCs w:val="24"/>
        </w:rPr>
        <w:t>oyment of mitigation strategies.</w:t>
      </w:r>
      <w:r w:rsidRPr="00934DCE">
        <w:rPr>
          <w:rFonts w:cs="Arial"/>
          <w:iCs/>
          <w:sz w:val="24"/>
          <w:szCs w:val="24"/>
        </w:rPr>
        <w:t xml:space="preserve"> </w:t>
      </w:r>
    </w:p>
    <w:p w14:paraId="24E42BFF" w14:textId="77777777" w:rsidR="006C5C19" w:rsidRPr="00934DCE" w:rsidRDefault="006C5C19" w:rsidP="006C5C19">
      <w:pPr>
        <w:spacing w:after="240" w:afterAutospacing="0"/>
        <w:rPr>
          <w:rFonts w:cs="Arial"/>
          <w:iCs/>
          <w:sz w:val="24"/>
          <w:szCs w:val="24"/>
        </w:rPr>
      </w:pPr>
      <w:r w:rsidRPr="00934DCE">
        <w:rPr>
          <w:rFonts w:cs="Arial"/>
          <w:iCs/>
          <w:sz w:val="24"/>
          <w:szCs w:val="24"/>
        </w:rPr>
        <w:t>Mitigation strategies are usually only prepared and/or deployed for Grades A through to C, however where an existing risk graded at D appears likely to be upgraded, mitigation strategies should be prepared.</w:t>
      </w:r>
    </w:p>
    <w:tbl>
      <w:tblPr>
        <w:tblW w:w="5000" w:type="pct"/>
        <w:tblLook w:val="0000" w:firstRow="0" w:lastRow="0" w:firstColumn="0" w:lastColumn="0" w:noHBand="0" w:noVBand="0"/>
      </w:tblPr>
      <w:tblGrid>
        <w:gridCol w:w="1146"/>
        <w:gridCol w:w="7864"/>
      </w:tblGrid>
      <w:tr w:rsidR="006C5C19" w:rsidRPr="00934DCE" w14:paraId="12C8C9DD" w14:textId="77777777" w:rsidTr="000D001F">
        <w:trPr>
          <w:trHeight w:val="390"/>
        </w:trPr>
        <w:tc>
          <w:tcPr>
            <w:tcW w:w="636" w:type="pct"/>
            <w:tcBorders>
              <w:top w:val="single" w:sz="12" w:space="0" w:color="auto"/>
              <w:left w:val="single" w:sz="6" w:space="0" w:color="auto"/>
              <w:bottom w:val="single" w:sz="12" w:space="0" w:color="auto"/>
              <w:right w:val="single" w:sz="6" w:space="0" w:color="auto"/>
            </w:tcBorders>
            <w:shd w:val="clear" w:color="auto" w:fill="D9D9D9"/>
            <w:vAlign w:val="center"/>
          </w:tcPr>
          <w:p w14:paraId="607888F6" w14:textId="77777777" w:rsidR="006C5C19" w:rsidRPr="00934DCE" w:rsidRDefault="006C5C19" w:rsidP="000D001F">
            <w:pPr>
              <w:pStyle w:val="TableHeading"/>
              <w:rPr>
                <w:rFonts w:cs="Arial"/>
                <w:sz w:val="24"/>
                <w:szCs w:val="24"/>
              </w:rPr>
            </w:pPr>
            <w:r w:rsidRPr="00934DCE">
              <w:rPr>
                <w:rFonts w:cs="Arial"/>
                <w:sz w:val="24"/>
                <w:szCs w:val="24"/>
              </w:rPr>
              <w:br w:type="page"/>
              <w:t>Grade</w:t>
            </w:r>
          </w:p>
        </w:tc>
        <w:tc>
          <w:tcPr>
            <w:tcW w:w="4364" w:type="pct"/>
            <w:tcBorders>
              <w:top w:val="single" w:sz="12" w:space="0" w:color="auto"/>
              <w:left w:val="single" w:sz="6" w:space="0" w:color="auto"/>
              <w:bottom w:val="single" w:sz="12" w:space="0" w:color="auto"/>
              <w:right w:val="single" w:sz="6" w:space="0" w:color="auto"/>
            </w:tcBorders>
            <w:shd w:val="clear" w:color="auto" w:fill="D9D9D9"/>
            <w:vAlign w:val="center"/>
          </w:tcPr>
          <w:p w14:paraId="0B2B2F78" w14:textId="77777777" w:rsidR="006C5C19" w:rsidRPr="00934DCE" w:rsidRDefault="006C5C19" w:rsidP="000D001F">
            <w:pPr>
              <w:pStyle w:val="TableHeading"/>
              <w:rPr>
                <w:rFonts w:cs="Arial"/>
                <w:sz w:val="24"/>
                <w:szCs w:val="24"/>
              </w:rPr>
            </w:pPr>
            <w:r w:rsidRPr="00934DCE">
              <w:rPr>
                <w:rFonts w:cs="Arial"/>
                <w:sz w:val="24"/>
                <w:szCs w:val="24"/>
              </w:rPr>
              <w:t>Possible Action</w:t>
            </w:r>
          </w:p>
        </w:tc>
      </w:tr>
      <w:tr w:rsidR="006C5C19" w:rsidRPr="00934DCE" w14:paraId="2F8DAB0A" w14:textId="77777777" w:rsidTr="000D001F">
        <w:trPr>
          <w:trHeight w:val="390"/>
        </w:trPr>
        <w:tc>
          <w:tcPr>
            <w:tcW w:w="636" w:type="pct"/>
            <w:tcBorders>
              <w:top w:val="single" w:sz="12" w:space="0" w:color="auto"/>
              <w:left w:val="single" w:sz="6" w:space="0" w:color="auto"/>
              <w:bottom w:val="single" w:sz="6" w:space="0" w:color="auto"/>
              <w:right w:val="single" w:sz="6" w:space="0" w:color="auto"/>
            </w:tcBorders>
            <w:vAlign w:val="center"/>
          </w:tcPr>
          <w:p w14:paraId="3BF4F0C3" w14:textId="77777777" w:rsidR="006C5C19" w:rsidRPr="00934DCE" w:rsidRDefault="006C5C19" w:rsidP="000D001F">
            <w:pPr>
              <w:pStyle w:val="TableText"/>
              <w:rPr>
                <w:rFonts w:cs="Arial"/>
                <w:sz w:val="24"/>
                <w:szCs w:val="24"/>
              </w:rPr>
            </w:pPr>
            <w:r w:rsidRPr="00934DCE">
              <w:rPr>
                <w:rFonts w:cs="Arial"/>
                <w:sz w:val="24"/>
                <w:szCs w:val="24"/>
              </w:rPr>
              <w:t>A</w:t>
            </w:r>
          </w:p>
        </w:tc>
        <w:tc>
          <w:tcPr>
            <w:tcW w:w="4364" w:type="pct"/>
            <w:tcBorders>
              <w:top w:val="single" w:sz="12" w:space="0" w:color="auto"/>
              <w:left w:val="single" w:sz="6" w:space="0" w:color="auto"/>
              <w:bottom w:val="single" w:sz="6" w:space="0" w:color="auto"/>
              <w:right w:val="single" w:sz="6" w:space="0" w:color="auto"/>
            </w:tcBorders>
            <w:vAlign w:val="center"/>
          </w:tcPr>
          <w:p w14:paraId="3EC53BA3" w14:textId="77777777" w:rsidR="006C5C19" w:rsidRPr="00934DCE" w:rsidRDefault="006C5C19" w:rsidP="000D001F">
            <w:pPr>
              <w:pStyle w:val="TableText"/>
              <w:rPr>
                <w:rFonts w:cs="Arial"/>
                <w:sz w:val="24"/>
                <w:szCs w:val="24"/>
              </w:rPr>
            </w:pPr>
            <w:r w:rsidRPr="00934DCE">
              <w:rPr>
                <w:rFonts w:cs="Arial"/>
                <w:sz w:val="24"/>
                <w:szCs w:val="24"/>
              </w:rPr>
              <w:t>Mitigation actions, to reduce the likelihood and seriousness, to be identified and implemented as soon as the project commences as a priority.</w:t>
            </w:r>
          </w:p>
        </w:tc>
      </w:tr>
      <w:tr w:rsidR="006C5C19" w:rsidRPr="00934DCE" w14:paraId="4AE4AC11" w14:textId="77777777" w:rsidTr="000D001F">
        <w:trPr>
          <w:trHeight w:val="390"/>
        </w:trPr>
        <w:tc>
          <w:tcPr>
            <w:tcW w:w="636" w:type="pct"/>
            <w:tcBorders>
              <w:top w:val="single" w:sz="6" w:space="0" w:color="auto"/>
              <w:left w:val="single" w:sz="6" w:space="0" w:color="auto"/>
              <w:bottom w:val="single" w:sz="6" w:space="0" w:color="auto"/>
              <w:right w:val="single" w:sz="6" w:space="0" w:color="auto"/>
            </w:tcBorders>
            <w:vAlign w:val="center"/>
          </w:tcPr>
          <w:p w14:paraId="68E77BC4" w14:textId="77777777" w:rsidR="006C5C19" w:rsidRPr="00934DCE" w:rsidRDefault="006C5C19" w:rsidP="000D001F">
            <w:pPr>
              <w:pStyle w:val="TableText"/>
              <w:rPr>
                <w:rFonts w:cs="Arial"/>
                <w:sz w:val="24"/>
                <w:szCs w:val="24"/>
              </w:rPr>
            </w:pPr>
            <w:r w:rsidRPr="00934DCE">
              <w:rPr>
                <w:rFonts w:cs="Arial"/>
                <w:sz w:val="24"/>
                <w:szCs w:val="24"/>
              </w:rPr>
              <w:lastRenderedPageBreak/>
              <w:t>B</w:t>
            </w:r>
          </w:p>
        </w:tc>
        <w:tc>
          <w:tcPr>
            <w:tcW w:w="4364" w:type="pct"/>
            <w:tcBorders>
              <w:top w:val="single" w:sz="6" w:space="0" w:color="auto"/>
              <w:left w:val="single" w:sz="6" w:space="0" w:color="auto"/>
              <w:bottom w:val="single" w:sz="6" w:space="0" w:color="auto"/>
              <w:right w:val="single" w:sz="6" w:space="0" w:color="auto"/>
            </w:tcBorders>
            <w:vAlign w:val="center"/>
          </w:tcPr>
          <w:p w14:paraId="138405F1" w14:textId="77777777" w:rsidR="006C5C19" w:rsidRPr="00934DCE" w:rsidRDefault="006C5C19" w:rsidP="000D001F">
            <w:pPr>
              <w:pStyle w:val="TableText"/>
              <w:rPr>
                <w:rFonts w:cs="Arial"/>
                <w:sz w:val="24"/>
                <w:szCs w:val="24"/>
              </w:rPr>
            </w:pPr>
            <w:r w:rsidRPr="00934DCE">
              <w:rPr>
                <w:rFonts w:cs="Arial"/>
                <w:sz w:val="24"/>
                <w:szCs w:val="24"/>
              </w:rPr>
              <w:t>Mitigation actions, to reduce the likelihood and seriousness, to be identified and appropriate actions implemented during project execution.</w:t>
            </w:r>
          </w:p>
        </w:tc>
      </w:tr>
      <w:tr w:rsidR="006C5C19" w:rsidRPr="00934DCE" w14:paraId="04F0D8E9" w14:textId="77777777" w:rsidTr="000D001F">
        <w:trPr>
          <w:trHeight w:val="390"/>
        </w:trPr>
        <w:tc>
          <w:tcPr>
            <w:tcW w:w="636" w:type="pct"/>
            <w:tcBorders>
              <w:top w:val="single" w:sz="6" w:space="0" w:color="auto"/>
              <w:left w:val="single" w:sz="6" w:space="0" w:color="auto"/>
              <w:bottom w:val="single" w:sz="6" w:space="0" w:color="auto"/>
              <w:right w:val="single" w:sz="6" w:space="0" w:color="auto"/>
            </w:tcBorders>
            <w:vAlign w:val="center"/>
          </w:tcPr>
          <w:p w14:paraId="41A9E6E3" w14:textId="77777777" w:rsidR="006C5C19" w:rsidRPr="00934DCE" w:rsidRDefault="006C5C19" w:rsidP="000D001F">
            <w:pPr>
              <w:pStyle w:val="TableText"/>
              <w:rPr>
                <w:rFonts w:cs="Arial"/>
                <w:sz w:val="24"/>
                <w:szCs w:val="24"/>
              </w:rPr>
            </w:pPr>
            <w:r w:rsidRPr="00934DCE">
              <w:rPr>
                <w:rFonts w:cs="Arial"/>
                <w:sz w:val="24"/>
                <w:szCs w:val="24"/>
              </w:rPr>
              <w:t>C</w:t>
            </w:r>
          </w:p>
        </w:tc>
        <w:tc>
          <w:tcPr>
            <w:tcW w:w="4364" w:type="pct"/>
            <w:tcBorders>
              <w:top w:val="single" w:sz="6" w:space="0" w:color="auto"/>
              <w:left w:val="single" w:sz="6" w:space="0" w:color="auto"/>
              <w:bottom w:val="single" w:sz="6" w:space="0" w:color="auto"/>
              <w:right w:val="single" w:sz="6" w:space="0" w:color="auto"/>
            </w:tcBorders>
            <w:vAlign w:val="center"/>
          </w:tcPr>
          <w:p w14:paraId="2E0B5CB8" w14:textId="77777777" w:rsidR="006C5C19" w:rsidRPr="00934DCE" w:rsidRDefault="006C5C19" w:rsidP="000D001F">
            <w:pPr>
              <w:pStyle w:val="TableText"/>
              <w:rPr>
                <w:rFonts w:cs="Arial"/>
                <w:sz w:val="24"/>
                <w:szCs w:val="24"/>
              </w:rPr>
            </w:pPr>
            <w:r w:rsidRPr="00934DCE">
              <w:rPr>
                <w:rFonts w:cs="Arial"/>
                <w:sz w:val="24"/>
                <w:szCs w:val="24"/>
              </w:rPr>
              <w:t>Mitigation actions, to reduce the likelihood and seriousness, to be identified and costed for possible action if funds permit.</w:t>
            </w:r>
          </w:p>
        </w:tc>
      </w:tr>
      <w:tr w:rsidR="006C5C19" w:rsidRPr="00934DCE" w14:paraId="6E4C1FA0" w14:textId="77777777" w:rsidTr="000D001F">
        <w:trPr>
          <w:trHeight w:val="390"/>
        </w:trPr>
        <w:tc>
          <w:tcPr>
            <w:tcW w:w="636" w:type="pct"/>
            <w:tcBorders>
              <w:top w:val="single" w:sz="6" w:space="0" w:color="auto"/>
              <w:left w:val="single" w:sz="6" w:space="0" w:color="auto"/>
              <w:bottom w:val="single" w:sz="6" w:space="0" w:color="auto"/>
              <w:right w:val="single" w:sz="6" w:space="0" w:color="auto"/>
            </w:tcBorders>
            <w:vAlign w:val="center"/>
          </w:tcPr>
          <w:p w14:paraId="26BE22DC" w14:textId="77777777" w:rsidR="006C5C19" w:rsidRPr="00934DCE" w:rsidRDefault="006C5C19" w:rsidP="000D001F">
            <w:pPr>
              <w:pStyle w:val="TableText"/>
              <w:rPr>
                <w:rFonts w:cs="Arial"/>
                <w:sz w:val="24"/>
                <w:szCs w:val="24"/>
              </w:rPr>
            </w:pPr>
            <w:r w:rsidRPr="00934DCE">
              <w:rPr>
                <w:rFonts w:cs="Arial"/>
                <w:sz w:val="24"/>
                <w:szCs w:val="24"/>
              </w:rPr>
              <w:t>D</w:t>
            </w:r>
          </w:p>
        </w:tc>
        <w:tc>
          <w:tcPr>
            <w:tcW w:w="4364" w:type="pct"/>
            <w:tcBorders>
              <w:top w:val="single" w:sz="6" w:space="0" w:color="auto"/>
              <w:left w:val="single" w:sz="6" w:space="0" w:color="auto"/>
              <w:bottom w:val="single" w:sz="6" w:space="0" w:color="auto"/>
              <w:right w:val="single" w:sz="6" w:space="0" w:color="auto"/>
            </w:tcBorders>
            <w:vAlign w:val="center"/>
          </w:tcPr>
          <w:p w14:paraId="674C1EF2" w14:textId="77777777" w:rsidR="006C5C19" w:rsidRPr="00934DCE" w:rsidRDefault="006C5C19" w:rsidP="000D001F">
            <w:pPr>
              <w:pStyle w:val="TableText"/>
              <w:rPr>
                <w:rFonts w:cs="Arial"/>
                <w:sz w:val="24"/>
                <w:szCs w:val="24"/>
              </w:rPr>
            </w:pPr>
            <w:r w:rsidRPr="00934DCE">
              <w:rPr>
                <w:rFonts w:cs="Arial"/>
                <w:sz w:val="24"/>
                <w:szCs w:val="24"/>
              </w:rPr>
              <w:t>To be noted; no action is needed unless grading increases over time.</w:t>
            </w:r>
          </w:p>
        </w:tc>
      </w:tr>
      <w:tr w:rsidR="006C5C19" w:rsidRPr="00934DCE" w14:paraId="4F95619D" w14:textId="77777777" w:rsidTr="000D001F">
        <w:trPr>
          <w:trHeight w:val="390"/>
        </w:trPr>
        <w:tc>
          <w:tcPr>
            <w:tcW w:w="636" w:type="pct"/>
            <w:tcBorders>
              <w:top w:val="single" w:sz="6" w:space="0" w:color="auto"/>
              <w:left w:val="single" w:sz="6" w:space="0" w:color="auto"/>
              <w:bottom w:val="single" w:sz="6" w:space="0" w:color="auto"/>
              <w:right w:val="single" w:sz="6" w:space="0" w:color="auto"/>
            </w:tcBorders>
            <w:vAlign w:val="center"/>
          </w:tcPr>
          <w:p w14:paraId="796624AC" w14:textId="77777777" w:rsidR="006C5C19" w:rsidRPr="00934DCE" w:rsidRDefault="006C5C19" w:rsidP="000D001F">
            <w:pPr>
              <w:pStyle w:val="TableText"/>
              <w:rPr>
                <w:rFonts w:cs="Arial"/>
                <w:sz w:val="24"/>
                <w:szCs w:val="24"/>
              </w:rPr>
            </w:pPr>
            <w:r w:rsidRPr="00934DCE">
              <w:rPr>
                <w:rFonts w:cs="Arial"/>
                <w:sz w:val="24"/>
                <w:szCs w:val="24"/>
              </w:rPr>
              <w:t>N</w:t>
            </w:r>
          </w:p>
        </w:tc>
        <w:tc>
          <w:tcPr>
            <w:tcW w:w="4364" w:type="pct"/>
            <w:tcBorders>
              <w:top w:val="single" w:sz="6" w:space="0" w:color="auto"/>
              <w:left w:val="single" w:sz="6" w:space="0" w:color="auto"/>
              <w:bottom w:val="single" w:sz="6" w:space="0" w:color="auto"/>
              <w:right w:val="single" w:sz="6" w:space="0" w:color="auto"/>
            </w:tcBorders>
            <w:vAlign w:val="center"/>
          </w:tcPr>
          <w:p w14:paraId="5E99DBE2" w14:textId="77777777" w:rsidR="006C5C19" w:rsidRPr="00934DCE" w:rsidRDefault="006C5C19" w:rsidP="000D001F">
            <w:pPr>
              <w:pStyle w:val="TableText"/>
              <w:rPr>
                <w:rFonts w:cs="Arial"/>
                <w:sz w:val="24"/>
                <w:szCs w:val="24"/>
              </w:rPr>
            </w:pPr>
            <w:r w:rsidRPr="00934DCE">
              <w:rPr>
                <w:rFonts w:cs="Arial"/>
                <w:sz w:val="24"/>
                <w:szCs w:val="24"/>
              </w:rPr>
              <w:t>To be noted; no action is needed unless grading increases over time.</w:t>
            </w:r>
          </w:p>
        </w:tc>
      </w:tr>
    </w:tbl>
    <w:p w14:paraId="30CEAF2F" w14:textId="77777777" w:rsidR="006C5C19" w:rsidRDefault="006C5C19" w:rsidP="006C5C19">
      <w:pPr>
        <w:rPr>
          <w:rFonts w:cs="Arial"/>
          <w:iCs/>
          <w:sz w:val="24"/>
          <w:szCs w:val="24"/>
        </w:rPr>
      </w:pPr>
      <w:r>
        <w:rPr>
          <w:rFonts w:cs="Arial"/>
          <w:iCs/>
          <w:sz w:val="24"/>
          <w:szCs w:val="24"/>
        </w:rPr>
        <w:t xml:space="preserve">The JH’s of TCC </w:t>
      </w:r>
      <w:proofErr w:type="gramStart"/>
      <w:r>
        <w:rPr>
          <w:rFonts w:cs="Arial"/>
          <w:iCs/>
          <w:sz w:val="24"/>
          <w:szCs w:val="24"/>
        </w:rPr>
        <w:t>shall at all times</w:t>
      </w:r>
      <w:proofErr w:type="gramEnd"/>
      <w:r>
        <w:rPr>
          <w:rFonts w:cs="Arial"/>
          <w:iCs/>
          <w:sz w:val="24"/>
          <w:szCs w:val="24"/>
        </w:rPr>
        <w:t xml:space="preserve"> be responsible for developing risk management strategies, when a risk is identified by them as being potentially upgraded.</w:t>
      </w:r>
    </w:p>
    <w:p w14:paraId="04236E2D" w14:textId="77777777" w:rsidR="006C5C19" w:rsidRDefault="006C5C19" w:rsidP="006C5C19">
      <w:pPr>
        <w:rPr>
          <w:rFonts w:cs="Arial"/>
          <w:iCs/>
          <w:sz w:val="24"/>
          <w:szCs w:val="24"/>
        </w:rPr>
      </w:pPr>
    </w:p>
    <w:p w14:paraId="5E466E7E" w14:textId="77777777" w:rsidR="006C5C19" w:rsidRPr="00C26463" w:rsidRDefault="006C5C19" w:rsidP="006C5C19">
      <w:pPr>
        <w:pStyle w:val="ListParagraph"/>
        <w:numPr>
          <w:ilvl w:val="0"/>
          <w:numId w:val="4"/>
        </w:numPr>
        <w:rPr>
          <w:rFonts w:cs="Arial"/>
          <w:b/>
          <w:iCs/>
          <w:sz w:val="24"/>
          <w:szCs w:val="24"/>
          <w:u w:val="single"/>
        </w:rPr>
      </w:pPr>
      <w:r w:rsidRPr="00C26463">
        <w:rPr>
          <w:rFonts w:cs="Arial"/>
          <w:b/>
          <w:iCs/>
          <w:sz w:val="24"/>
          <w:szCs w:val="24"/>
          <w:u w:val="single"/>
        </w:rPr>
        <w:t>Risk Monitoring</w:t>
      </w:r>
      <w:r>
        <w:rPr>
          <w:rFonts w:cs="Arial"/>
          <w:b/>
          <w:iCs/>
          <w:sz w:val="24"/>
          <w:szCs w:val="24"/>
          <w:u w:val="single"/>
        </w:rPr>
        <w:t xml:space="preserve"> and Management</w:t>
      </w:r>
    </w:p>
    <w:p w14:paraId="4F09AFD0" w14:textId="77777777" w:rsidR="006C5C19" w:rsidRDefault="006C5C19" w:rsidP="006C5C19">
      <w:pPr>
        <w:rPr>
          <w:rFonts w:cs="Arial"/>
          <w:iCs/>
          <w:sz w:val="24"/>
          <w:szCs w:val="24"/>
        </w:rPr>
      </w:pPr>
      <w:r>
        <w:rPr>
          <w:rFonts w:cs="Arial"/>
          <w:iCs/>
          <w:sz w:val="24"/>
          <w:szCs w:val="24"/>
        </w:rPr>
        <w:t>Risk monitoring and management shall be the responsibility of CHARLES MANNAN.</w:t>
      </w:r>
    </w:p>
    <w:p w14:paraId="41AAA8D0" w14:textId="77777777" w:rsidR="006C5C19" w:rsidRDefault="006C5C19" w:rsidP="006C5C19">
      <w:pPr>
        <w:rPr>
          <w:rFonts w:cs="Arial"/>
          <w:iCs/>
          <w:sz w:val="24"/>
          <w:szCs w:val="24"/>
        </w:rPr>
      </w:pPr>
      <w:r>
        <w:rPr>
          <w:rFonts w:cs="Arial"/>
          <w:iCs/>
          <w:sz w:val="24"/>
          <w:szCs w:val="24"/>
        </w:rPr>
        <w:t xml:space="preserve">Risks shall be monitored on an annual basis by the Head of Chambers and an action plan shall be drawn up when required and/or necessary. </w:t>
      </w:r>
    </w:p>
    <w:p w14:paraId="4B1AFCC4" w14:textId="77777777" w:rsidR="006C5C19" w:rsidRDefault="006C5C19" w:rsidP="006C5C19">
      <w:pPr>
        <w:rPr>
          <w:rFonts w:cs="Arial"/>
          <w:iCs/>
          <w:sz w:val="24"/>
          <w:szCs w:val="24"/>
        </w:rPr>
      </w:pPr>
      <w:r>
        <w:rPr>
          <w:rFonts w:cs="Arial"/>
          <w:iCs/>
          <w:sz w:val="24"/>
          <w:szCs w:val="24"/>
        </w:rPr>
        <w:t>In respect of the risks currently identified in this document, the Head of Chambers believes the following actions are necessary and require implementation in the next financial year:</w:t>
      </w:r>
    </w:p>
    <w:p w14:paraId="655FD6CC" w14:textId="77777777" w:rsidR="006C5C19" w:rsidRPr="00A829B9" w:rsidRDefault="006C5C19" w:rsidP="006C5C19">
      <w:pPr>
        <w:rPr>
          <w:rFonts w:cs="Arial"/>
          <w:b/>
          <w:iCs/>
          <w:sz w:val="24"/>
          <w:szCs w:val="24"/>
        </w:rPr>
      </w:pPr>
      <w:r w:rsidRPr="00A829B9">
        <w:rPr>
          <w:rFonts w:cs="Arial"/>
          <w:b/>
          <w:iCs/>
          <w:sz w:val="24"/>
          <w:szCs w:val="24"/>
        </w:rPr>
        <w:t xml:space="preserve">Loss of Data – </w:t>
      </w:r>
      <w:r>
        <w:rPr>
          <w:rFonts w:cs="Arial"/>
          <w:b/>
          <w:iCs/>
          <w:sz w:val="24"/>
          <w:szCs w:val="24"/>
        </w:rPr>
        <w:t xml:space="preserve">CHARLES MANNAN </w:t>
      </w:r>
      <w:r w:rsidRPr="00A829B9">
        <w:rPr>
          <w:rFonts w:cs="Arial"/>
          <w:b/>
          <w:iCs/>
          <w:sz w:val="24"/>
          <w:szCs w:val="24"/>
        </w:rPr>
        <w:t xml:space="preserve">in consultation with LEX, to ensure that the Data Protection Policy is </w:t>
      </w:r>
      <w:proofErr w:type="gramStart"/>
      <w:r w:rsidRPr="00A829B9">
        <w:rPr>
          <w:rFonts w:cs="Arial"/>
          <w:b/>
          <w:iCs/>
          <w:sz w:val="24"/>
          <w:szCs w:val="24"/>
        </w:rPr>
        <w:t>updated</w:t>
      </w:r>
      <w:proofErr w:type="gramEnd"/>
      <w:r>
        <w:rPr>
          <w:rFonts w:cs="Arial"/>
          <w:b/>
          <w:iCs/>
          <w:sz w:val="24"/>
          <w:szCs w:val="24"/>
        </w:rPr>
        <w:t xml:space="preserve"> and agreement terminated as of 1</w:t>
      </w:r>
      <w:r w:rsidRPr="00AA438F">
        <w:rPr>
          <w:rFonts w:cs="Arial"/>
          <w:b/>
          <w:iCs/>
          <w:sz w:val="24"/>
          <w:szCs w:val="24"/>
          <w:vertAlign w:val="superscript"/>
        </w:rPr>
        <w:t>st</w:t>
      </w:r>
      <w:r>
        <w:rPr>
          <w:rFonts w:cs="Arial"/>
          <w:b/>
          <w:iCs/>
          <w:sz w:val="24"/>
          <w:szCs w:val="24"/>
        </w:rPr>
        <w:t xml:space="preserve"> July 2022.</w:t>
      </w:r>
    </w:p>
    <w:p w14:paraId="28C04A05" w14:textId="77777777" w:rsidR="006C5C19" w:rsidRPr="00A829B9" w:rsidRDefault="006C5C19" w:rsidP="006C5C19">
      <w:pPr>
        <w:rPr>
          <w:rFonts w:cs="Arial"/>
          <w:b/>
          <w:iCs/>
          <w:sz w:val="24"/>
          <w:szCs w:val="24"/>
        </w:rPr>
      </w:pPr>
      <w:r w:rsidRPr="00A829B9">
        <w:rPr>
          <w:rFonts w:cs="Arial"/>
          <w:b/>
          <w:iCs/>
          <w:sz w:val="24"/>
          <w:szCs w:val="24"/>
        </w:rPr>
        <w:t xml:space="preserve">Members – </w:t>
      </w:r>
      <w:r>
        <w:rPr>
          <w:rFonts w:cs="Arial"/>
          <w:b/>
          <w:iCs/>
          <w:sz w:val="24"/>
          <w:szCs w:val="24"/>
        </w:rPr>
        <w:t>CHARLES MANNAN</w:t>
      </w:r>
      <w:r w:rsidRPr="00A829B9">
        <w:rPr>
          <w:rFonts w:cs="Arial"/>
          <w:b/>
          <w:iCs/>
          <w:sz w:val="24"/>
          <w:szCs w:val="24"/>
        </w:rPr>
        <w:t xml:space="preserve"> to ensure advertisements for new members commence in April 202</w:t>
      </w:r>
      <w:r>
        <w:rPr>
          <w:rFonts w:cs="Arial"/>
          <w:b/>
          <w:iCs/>
          <w:sz w:val="24"/>
          <w:szCs w:val="24"/>
        </w:rPr>
        <w:t>3</w:t>
      </w:r>
      <w:r w:rsidRPr="00A829B9">
        <w:rPr>
          <w:rFonts w:cs="Arial"/>
          <w:b/>
          <w:iCs/>
          <w:sz w:val="24"/>
          <w:szCs w:val="24"/>
        </w:rPr>
        <w:t>.</w:t>
      </w:r>
    </w:p>
    <w:p w14:paraId="73E46998" w14:textId="77777777" w:rsidR="006C5C19" w:rsidRPr="00A829B9" w:rsidRDefault="006C5C19" w:rsidP="006C5C19">
      <w:pPr>
        <w:rPr>
          <w:rFonts w:cs="Arial"/>
          <w:b/>
          <w:iCs/>
          <w:sz w:val="24"/>
          <w:szCs w:val="24"/>
        </w:rPr>
      </w:pPr>
      <w:r w:rsidRPr="00A829B9">
        <w:rPr>
          <w:rFonts w:cs="Arial"/>
          <w:b/>
          <w:iCs/>
          <w:sz w:val="24"/>
          <w:szCs w:val="24"/>
        </w:rPr>
        <w:t>Budget Forecasts –</w:t>
      </w:r>
      <w:r>
        <w:rPr>
          <w:rFonts w:cs="Arial"/>
          <w:b/>
          <w:iCs/>
          <w:sz w:val="24"/>
          <w:szCs w:val="24"/>
        </w:rPr>
        <w:t xml:space="preserve"> CHARLES MANNAN</w:t>
      </w:r>
      <w:r w:rsidRPr="00A829B9">
        <w:rPr>
          <w:rFonts w:cs="Arial"/>
          <w:b/>
          <w:iCs/>
          <w:sz w:val="24"/>
          <w:szCs w:val="24"/>
        </w:rPr>
        <w:t xml:space="preserve"> to instruct accountants to produce budget forecast for the next financial year</w:t>
      </w:r>
      <w:r>
        <w:rPr>
          <w:rFonts w:cs="Arial"/>
          <w:b/>
          <w:iCs/>
          <w:sz w:val="24"/>
          <w:szCs w:val="24"/>
        </w:rPr>
        <w:t xml:space="preserve"> commencing April 2023</w:t>
      </w:r>
      <w:r w:rsidRPr="00A829B9">
        <w:rPr>
          <w:rFonts w:cs="Arial"/>
          <w:b/>
          <w:iCs/>
          <w:sz w:val="24"/>
          <w:szCs w:val="24"/>
        </w:rPr>
        <w:t>.</w:t>
      </w:r>
    </w:p>
    <w:p w14:paraId="1CB3ECE0" w14:textId="77777777" w:rsidR="006C5C19" w:rsidRPr="00A829B9" w:rsidRDefault="006C5C19" w:rsidP="006C5C19">
      <w:pPr>
        <w:rPr>
          <w:rFonts w:cs="Arial"/>
          <w:b/>
          <w:iCs/>
          <w:sz w:val="24"/>
          <w:szCs w:val="24"/>
        </w:rPr>
      </w:pPr>
      <w:r w:rsidRPr="00A829B9">
        <w:rPr>
          <w:rFonts w:cs="Arial"/>
          <w:b/>
          <w:iCs/>
          <w:sz w:val="24"/>
          <w:szCs w:val="24"/>
        </w:rPr>
        <w:t xml:space="preserve">Work For Member – </w:t>
      </w:r>
      <w:r>
        <w:rPr>
          <w:rFonts w:cs="Arial"/>
          <w:b/>
          <w:iCs/>
          <w:sz w:val="24"/>
          <w:szCs w:val="24"/>
        </w:rPr>
        <w:t>CHARLES MANNAN</w:t>
      </w:r>
      <w:r w:rsidRPr="00A829B9">
        <w:rPr>
          <w:rFonts w:cs="Arial"/>
          <w:b/>
          <w:iCs/>
          <w:sz w:val="24"/>
          <w:szCs w:val="24"/>
        </w:rPr>
        <w:t xml:space="preserve"> to arrange meetings in the next financial year with member</w:t>
      </w:r>
      <w:r>
        <w:rPr>
          <w:rFonts w:cs="Arial"/>
          <w:b/>
          <w:iCs/>
          <w:sz w:val="24"/>
          <w:szCs w:val="24"/>
        </w:rPr>
        <w:t>s</w:t>
      </w:r>
      <w:r w:rsidRPr="00A829B9">
        <w:rPr>
          <w:rFonts w:cs="Arial"/>
          <w:b/>
          <w:iCs/>
          <w:sz w:val="24"/>
          <w:szCs w:val="24"/>
        </w:rPr>
        <w:t xml:space="preserve"> and draw up marketing strategies for each member</w:t>
      </w:r>
      <w:r>
        <w:rPr>
          <w:rFonts w:cs="Arial"/>
          <w:b/>
          <w:iCs/>
          <w:sz w:val="24"/>
          <w:szCs w:val="24"/>
        </w:rPr>
        <w:t>, if so required.</w:t>
      </w:r>
    </w:p>
    <w:p w14:paraId="3D92FC35" w14:textId="77777777" w:rsidR="006C5C19" w:rsidRPr="00A829B9" w:rsidRDefault="006C5C19" w:rsidP="006C5C19">
      <w:pPr>
        <w:rPr>
          <w:rFonts w:cs="Arial"/>
          <w:b/>
          <w:iCs/>
          <w:sz w:val="24"/>
          <w:szCs w:val="24"/>
        </w:rPr>
      </w:pPr>
      <w:r w:rsidRPr="00A829B9">
        <w:rPr>
          <w:rFonts w:cs="Arial"/>
          <w:b/>
          <w:iCs/>
          <w:sz w:val="24"/>
          <w:szCs w:val="24"/>
        </w:rPr>
        <w:t xml:space="preserve">Regulation – </w:t>
      </w:r>
      <w:r>
        <w:rPr>
          <w:rFonts w:cs="Arial"/>
          <w:b/>
          <w:iCs/>
          <w:sz w:val="24"/>
          <w:szCs w:val="24"/>
        </w:rPr>
        <w:t>CHARLES MANNAN</w:t>
      </w:r>
      <w:r w:rsidRPr="00A829B9">
        <w:rPr>
          <w:rFonts w:cs="Arial"/>
          <w:b/>
          <w:iCs/>
          <w:sz w:val="24"/>
          <w:szCs w:val="24"/>
        </w:rPr>
        <w:t xml:space="preserve"> to carry out a review of further regulation in the next financial year and produce a report for discussion and follow-up with the BSB.</w:t>
      </w:r>
    </w:p>
    <w:p w14:paraId="4AE244E3" w14:textId="77777777" w:rsidR="006C5C19" w:rsidRPr="00934DCE" w:rsidRDefault="006C5C19" w:rsidP="006C5C19">
      <w:pPr>
        <w:rPr>
          <w:rFonts w:cs="Arial"/>
          <w:iCs/>
          <w:sz w:val="24"/>
          <w:szCs w:val="24"/>
        </w:rPr>
      </w:pPr>
    </w:p>
    <w:p w14:paraId="657984D1" w14:textId="77777777" w:rsidR="006C5C19" w:rsidRPr="00934DCE" w:rsidRDefault="006C5C19" w:rsidP="006C5C19">
      <w:pPr>
        <w:rPr>
          <w:rFonts w:cs="Arial"/>
          <w:sz w:val="24"/>
          <w:szCs w:val="24"/>
        </w:rPr>
      </w:pPr>
    </w:p>
    <w:p w14:paraId="01E9234A" w14:textId="77777777" w:rsidR="006C5C19" w:rsidRPr="00934DCE" w:rsidRDefault="006C5C19" w:rsidP="006C5C19">
      <w:pPr>
        <w:rPr>
          <w:sz w:val="24"/>
          <w:szCs w:val="24"/>
        </w:rPr>
      </w:pPr>
    </w:p>
    <w:p w14:paraId="1BEE286A" w14:textId="77777777" w:rsidR="00236E65" w:rsidRDefault="00236E65"/>
    <w:sectPr w:rsidR="00236E65" w:rsidSect="001E259D">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20672"/>
      <w:docPartObj>
        <w:docPartGallery w:val="Page Numbers (Bottom of Page)"/>
        <w:docPartUnique/>
      </w:docPartObj>
    </w:sdtPr>
    <w:sdtEndPr/>
    <w:sdtContent>
      <w:p w14:paraId="67FB8DCB" w14:textId="77777777" w:rsidR="00E558EF" w:rsidRDefault="006C5C1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87BA2A1" w14:textId="77777777" w:rsidR="00E558EF" w:rsidRDefault="006C5C1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827"/>
    <w:multiLevelType w:val="hybridMultilevel"/>
    <w:tmpl w:val="B412C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1B6B9E"/>
    <w:multiLevelType w:val="multilevel"/>
    <w:tmpl w:val="C5E2E868"/>
    <w:lvl w:ilvl="0">
      <w:start w:val="1"/>
      <w:numFmt w:val="decimal"/>
      <w:pStyle w:val="Heading1"/>
      <w:suff w:val="space"/>
      <w:lvlText w:val="%1 "/>
      <w:lvlJc w:val="left"/>
      <w:pPr>
        <w:ind w:left="851" w:hanging="851"/>
      </w:pPr>
      <w:rPr>
        <w:rFonts w:hint="default"/>
      </w:rPr>
    </w:lvl>
    <w:lvl w:ilvl="1">
      <w:start w:val="1"/>
      <w:numFmt w:val="decimal"/>
      <w:pStyle w:val="Heading2"/>
      <w:suff w:val="space"/>
      <w:lvlText w:val="%1.%2 "/>
      <w:lvlJc w:val="left"/>
      <w:pPr>
        <w:ind w:left="851" w:hanging="851"/>
      </w:pPr>
      <w:rPr>
        <w:rFonts w:hint="default"/>
      </w:rPr>
    </w:lvl>
    <w:lvl w:ilvl="2">
      <w:start w:val="1"/>
      <w:numFmt w:val="decimal"/>
      <w:pStyle w:val="Heading3"/>
      <w:suff w:val="space"/>
      <w:lvlText w:val="%1.%2.%3 "/>
      <w:lvlJc w:val="left"/>
      <w:pPr>
        <w:ind w:left="851" w:hanging="851"/>
      </w:pPr>
      <w:rPr>
        <w:rFonts w:hint="default"/>
      </w:rPr>
    </w:lvl>
    <w:lvl w:ilvl="3">
      <w:start w:val="1"/>
      <w:numFmt w:val="decimal"/>
      <w:pStyle w:val="Heading4"/>
      <w:suff w:val="space"/>
      <w:lvlText w:val="%1.%2.%3.%4 "/>
      <w:lvlJc w:val="left"/>
      <w:pPr>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upperLetter"/>
      <w:lvlRestart w:val="0"/>
      <w:pStyle w:val="Heading7"/>
      <w:suff w:val="space"/>
      <w:lvlText w:val="Appendix %7: "/>
      <w:lvlJc w:val="left"/>
      <w:pPr>
        <w:ind w:left="0" w:firstLine="0"/>
      </w:pPr>
      <w:rPr>
        <w:rFonts w:hint="default"/>
      </w:rPr>
    </w:lvl>
    <w:lvl w:ilvl="7">
      <w:start w:val="1"/>
      <w:numFmt w:val="decimal"/>
      <w:pStyle w:val="Heading8"/>
      <w:suff w:val="space"/>
      <w:lvlText w:val="%7.%8 "/>
      <w:lvlJc w:val="left"/>
      <w:pPr>
        <w:ind w:left="851" w:hanging="851"/>
      </w:pPr>
      <w:rPr>
        <w:rFonts w:hint="default"/>
      </w:rPr>
    </w:lvl>
    <w:lvl w:ilvl="8">
      <w:start w:val="1"/>
      <w:numFmt w:val="decimal"/>
      <w:pStyle w:val="Heading9"/>
      <w:suff w:val="space"/>
      <w:lvlText w:val="%7.%8.%9 "/>
      <w:lvlJc w:val="left"/>
      <w:pPr>
        <w:ind w:left="851" w:hanging="851"/>
      </w:pPr>
      <w:rPr>
        <w:rFonts w:hint="default"/>
      </w:rPr>
    </w:lvl>
  </w:abstractNum>
  <w:abstractNum w:abstractNumId="2" w15:restartNumberingAfterBreak="0">
    <w:nsid w:val="43AE243D"/>
    <w:multiLevelType w:val="multilevel"/>
    <w:tmpl w:val="717042EE"/>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none"/>
      <w:lvlRestart w:val="0"/>
      <w:suff w:val="nothing"/>
      <w:lvlText w:val=""/>
      <w:lvlJc w:val="left"/>
      <w:pPr>
        <w:ind w:left="0" w:firstLine="851"/>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3" w15:restartNumberingAfterBreak="0">
    <w:nsid w:val="5EA82358"/>
    <w:multiLevelType w:val="hybridMultilevel"/>
    <w:tmpl w:val="4A449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4215155">
    <w:abstractNumId w:val="1"/>
  </w:num>
  <w:num w:numId="2" w16cid:durableId="1229222939">
    <w:abstractNumId w:val="2"/>
  </w:num>
  <w:num w:numId="3" w16cid:durableId="127286588">
    <w:abstractNumId w:val="3"/>
  </w:num>
  <w:num w:numId="4" w16cid:durableId="190849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19"/>
    <w:rsid w:val="00236E65"/>
    <w:rsid w:val="006C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1A14"/>
  <w15:chartTrackingRefBased/>
  <w15:docId w15:val="{E7AC13AA-8AEF-4CA0-B68B-7D91473C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19"/>
    <w:pPr>
      <w:keepLines/>
      <w:spacing w:before="100" w:beforeAutospacing="1" w:after="100" w:afterAutospacing="1" w:line="240" w:lineRule="auto"/>
    </w:pPr>
    <w:rPr>
      <w:rFonts w:ascii="Arial" w:eastAsia="Times New Roman" w:hAnsi="Arial" w:cs="Times New Roman"/>
      <w:lang w:val="en-AU" w:eastAsia="en-AU"/>
    </w:rPr>
  </w:style>
  <w:style w:type="paragraph" w:styleId="Heading1">
    <w:name w:val="heading 1"/>
    <w:next w:val="Normal"/>
    <w:link w:val="Heading1Char"/>
    <w:qFormat/>
    <w:rsid w:val="006C5C19"/>
    <w:pPr>
      <w:keepNext/>
      <w:numPr>
        <w:numId w:val="1"/>
      </w:numPr>
      <w:spacing w:before="240" w:after="0" w:line="240" w:lineRule="auto"/>
      <w:outlineLvl w:val="0"/>
    </w:pPr>
    <w:rPr>
      <w:rFonts w:ascii="Arial" w:eastAsia="Times New Roman" w:hAnsi="Arial" w:cs="Arial"/>
      <w:b/>
      <w:bCs/>
      <w:kern w:val="32"/>
      <w:sz w:val="36"/>
      <w:szCs w:val="32"/>
      <w:lang w:val="en-AU" w:eastAsia="en-AU"/>
    </w:rPr>
  </w:style>
  <w:style w:type="paragraph" w:styleId="Heading2">
    <w:name w:val="heading 2"/>
    <w:basedOn w:val="Heading1"/>
    <w:next w:val="Normal"/>
    <w:link w:val="Heading2Char"/>
    <w:qFormat/>
    <w:rsid w:val="006C5C19"/>
    <w:pPr>
      <w:numPr>
        <w:ilvl w:val="1"/>
      </w:numPr>
      <w:outlineLvl w:val="1"/>
    </w:pPr>
    <w:rPr>
      <w:bCs w:val="0"/>
      <w:iCs/>
      <w:sz w:val="28"/>
      <w:szCs w:val="28"/>
    </w:rPr>
  </w:style>
  <w:style w:type="paragraph" w:styleId="Heading3">
    <w:name w:val="heading 3"/>
    <w:basedOn w:val="Heading1"/>
    <w:next w:val="Normal"/>
    <w:link w:val="Heading3Char"/>
    <w:qFormat/>
    <w:rsid w:val="006C5C19"/>
    <w:pPr>
      <w:numPr>
        <w:ilvl w:val="2"/>
      </w:numPr>
      <w:outlineLvl w:val="2"/>
    </w:pPr>
    <w:rPr>
      <w:bCs w:val="0"/>
      <w:sz w:val="22"/>
      <w:szCs w:val="26"/>
    </w:rPr>
  </w:style>
  <w:style w:type="paragraph" w:styleId="Heading4">
    <w:name w:val="heading 4"/>
    <w:basedOn w:val="Heading1"/>
    <w:next w:val="Normal"/>
    <w:link w:val="Heading4Char"/>
    <w:qFormat/>
    <w:rsid w:val="006C5C19"/>
    <w:pPr>
      <w:numPr>
        <w:ilvl w:val="3"/>
      </w:numPr>
      <w:outlineLvl w:val="3"/>
    </w:pPr>
    <w:rPr>
      <w:b w:val="0"/>
      <w:bCs w:val="0"/>
      <w:i/>
      <w:sz w:val="22"/>
      <w:szCs w:val="28"/>
    </w:rPr>
  </w:style>
  <w:style w:type="paragraph" w:styleId="Heading5">
    <w:name w:val="heading 5"/>
    <w:basedOn w:val="Normal"/>
    <w:next w:val="Normal"/>
    <w:link w:val="Heading5Char"/>
    <w:qFormat/>
    <w:rsid w:val="006C5C1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C5C19"/>
    <w:pPr>
      <w:numPr>
        <w:ilvl w:val="5"/>
        <w:numId w:val="1"/>
      </w:numPr>
      <w:spacing w:before="240" w:after="60"/>
      <w:outlineLvl w:val="5"/>
    </w:pPr>
    <w:rPr>
      <w:b/>
      <w:bCs/>
    </w:rPr>
  </w:style>
  <w:style w:type="paragraph" w:styleId="Heading7">
    <w:name w:val="heading 7"/>
    <w:basedOn w:val="Heading1"/>
    <w:next w:val="Normal"/>
    <w:link w:val="Heading7Char"/>
    <w:qFormat/>
    <w:rsid w:val="006C5C19"/>
    <w:pPr>
      <w:numPr>
        <w:ilvl w:val="6"/>
      </w:numPr>
      <w:outlineLvl w:val="6"/>
    </w:pPr>
  </w:style>
  <w:style w:type="paragraph" w:styleId="Heading8">
    <w:name w:val="heading 8"/>
    <w:basedOn w:val="Heading2"/>
    <w:next w:val="Normal"/>
    <w:link w:val="Heading8Char"/>
    <w:qFormat/>
    <w:rsid w:val="006C5C19"/>
    <w:pPr>
      <w:numPr>
        <w:ilvl w:val="7"/>
      </w:numPr>
      <w:outlineLvl w:val="7"/>
    </w:pPr>
    <w:rPr>
      <w:iCs w:val="0"/>
    </w:rPr>
  </w:style>
  <w:style w:type="paragraph" w:styleId="Heading9">
    <w:name w:val="heading 9"/>
    <w:basedOn w:val="Heading3"/>
    <w:next w:val="Normal"/>
    <w:link w:val="Heading9Char"/>
    <w:qFormat/>
    <w:rsid w:val="006C5C1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C19"/>
    <w:rPr>
      <w:rFonts w:ascii="Arial" w:eastAsia="Times New Roman" w:hAnsi="Arial" w:cs="Arial"/>
      <w:b/>
      <w:bCs/>
      <w:kern w:val="32"/>
      <w:sz w:val="36"/>
      <w:szCs w:val="32"/>
      <w:lang w:val="en-AU" w:eastAsia="en-AU"/>
    </w:rPr>
  </w:style>
  <w:style w:type="character" w:customStyle="1" w:styleId="Heading2Char">
    <w:name w:val="Heading 2 Char"/>
    <w:basedOn w:val="DefaultParagraphFont"/>
    <w:link w:val="Heading2"/>
    <w:rsid w:val="006C5C19"/>
    <w:rPr>
      <w:rFonts w:ascii="Arial" w:eastAsia="Times New Roman" w:hAnsi="Arial" w:cs="Arial"/>
      <w:b/>
      <w:iCs/>
      <w:kern w:val="32"/>
      <w:sz w:val="28"/>
      <w:szCs w:val="28"/>
      <w:lang w:val="en-AU" w:eastAsia="en-AU"/>
    </w:rPr>
  </w:style>
  <w:style w:type="character" w:customStyle="1" w:styleId="Heading3Char">
    <w:name w:val="Heading 3 Char"/>
    <w:basedOn w:val="DefaultParagraphFont"/>
    <w:link w:val="Heading3"/>
    <w:rsid w:val="006C5C19"/>
    <w:rPr>
      <w:rFonts w:ascii="Arial" w:eastAsia="Times New Roman" w:hAnsi="Arial" w:cs="Arial"/>
      <w:b/>
      <w:kern w:val="32"/>
      <w:szCs w:val="26"/>
      <w:lang w:val="en-AU" w:eastAsia="en-AU"/>
    </w:rPr>
  </w:style>
  <w:style w:type="character" w:customStyle="1" w:styleId="Heading4Char">
    <w:name w:val="Heading 4 Char"/>
    <w:basedOn w:val="DefaultParagraphFont"/>
    <w:link w:val="Heading4"/>
    <w:rsid w:val="006C5C19"/>
    <w:rPr>
      <w:rFonts w:ascii="Arial" w:eastAsia="Times New Roman" w:hAnsi="Arial" w:cs="Arial"/>
      <w:i/>
      <w:kern w:val="32"/>
      <w:szCs w:val="28"/>
      <w:lang w:val="en-AU" w:eastAsia="en-AU"/>
    </w:rPr>
  </w:style>
  <w:style w:type="character" w:customStyle="1" w:styleId="Heading5Char">
    <w:name w:val="Heading 5 Char"/>
    <w:basedOn w:val="DefaultParagraphFont"/>
    <w:link w:val="Heading5"/>
    <w:rsid w:val="006C5C19"/>
    <w:rPr>
      <w:rFonts w:ascii="Arial" w:eastAsia="Times New Roman" w:hAnsi="Arial" w:cs="Times New Roman"/>
      <w:b/>
      <w:bCs/>
      <w:i/>
      <w:iCs/>
      <w:sz w:val="26"/>
      <w:szCs w:val="26"/>
      <w:lang w:val="en-AU" w:eastAsia="en-AU"/>
    </w:rPr>
  </w:style>
  <w:style w:type="character" w:customStyle="1" w:styleId="Heading6Char">
    <w:name w:val="Heading 6 Char"/>
    <w:basedOn w:val="DefaultParagraphFont"/>
    <w:link w:val="Heading6"/>
    <w:rsid w:val="006C5C19"/>
    <w:rPr>
      <w:rFonts w:ascii="Arial" w:eastAsia="Times New Roman" w:hAnsi="Arial" w:cs="Times New Roman"/>
      <w:b/>
      <w:bCs/>
      <w:lang w:val="en-AU" w:eastAsia="en-AU"/>
    </w:rPr>
  </w:style>
  <w:style w:type="character" w:customStyle="1" w:styleId="Heading7Char">
    <w:name w:val="Heading 7 Char"/>
    <w:basedOn w:val="DefaultParagraphFont"/>
    <w:link w:val="Heading7"/>
    <w:rsid w:val="006C5C19"/>
    <w:rPr>
      <w:rFonts w:ascii="Arial" w:eastAsia="Times New Roman" w:hAnsi="Arial" w:cs="Arial"/>
      <w:b/>
      <w:bCs/>
      <w:kern w:val="32"/>
      <w:sz w:val="36"/>
      <w:szCs w:val="32"/>
      <w:lang w:val="en-AU" w:eastAsia="en-AU"/>
    </w:rPr>
  </w:style>
  <w:style w:type="character" w:customStyle="1" w:styleId="Heading8Char">
    <w:name w:val="Heading 8 Char"/>
    <w:basedOn w:val="DefaultParagraphFont"/>
    <w:link w:val="Heading8"/>
    <w:rsid w:val="006C5C19"/>
    <w:rPr>
      <w:rFonts w:ascii="Arial" w:eastAsia="Times New Roman" w:hAnsi="Arial" w:cs="Arial"/>
      <w:b/>
      <w:kern w:val="32"/>
      <w:sz w:val="28"/>
      <w:szCs w:val="28"/>
      <w:lang w:val="en-AU" w:eastAsia="en-AU"/>
    </w:rPr>
  </w:style>
  <w:style w:type="character" w:customStyle="1" w:styleId="Heading9Char">
    <w:name w:val="Heading 9 Char"/>
    <w:basedOn w:val="DefaultParagraphFont"/>
    <w:link w:val="Heading9"/>
    <w:rsid w:val="006C5C19"/>
    <w:rPr>
      <w:rFonts w:ascii="Arial" w:eastAsia="Times New Roman" w:hAnsi="Arial" w:cs="Arial"/>
      <w:b/>
      <w:kern w:val="32"/>
      <w:szCs w:val="26"/>
      <w:lang w:val="en-AU" w:eastAsia="en-AU"/>
    </w:rPr>
  </w:style>
  <w:style w:type="paragraph" w:styleId="ListBullet">
    <w:name w:val="List Bullet"/>
    <w:basedOn w:val="Normal"/>
    <w:uiPriority w:val="99"/>
    <w:rsid w:val="006C5C19"/>
    <w:pPr>
      <w:numPr>
        <w:numId w:val="2"/>
      </w:numPr>
      <w:spacing w:before="240" w:beforeAutospacing="0"/>
    </w:pPr>
  </w:style>
  <w:style w:type="paragraph" w:styleId="ListBullet2">
    <w:name w:val="List Bullet 2"/>
    <w:basedOn w:val="Normal"/>
    <w:uiPriority w:val="99"/>
    <w:rsid w:val="006C5C19"/>
    <w:pPr>
      <w:numPr>
        <w:ilvl w:val="1"/>
        <w:numId w:val="2"/>
      </w:numPr>
      <w:spacing w:before="240" w:beforeAutospacing="0"/>
    </w:pPr>
  </w:style>
  <w:style w:type="paragraph" w:styleId="ListBullet3">
    <w:name w:val="List Bullet 3"/>
    <w:basedOn w:val="Normal"/>
    <w:uiPriority w:val="99"/>
    <w:rsid w:val="006C5C19"/>
    <w:pPr>
      <w:numPr>
        <w:ilvl w:val="2"/>
        <w:numId w:val="2"/>
      </w:numPr>
      <w:spacing w:before="240" w:beforeAutospacing="0"/>
    </w:pPr>
  </w:style>
  <w:style w:type="paragraph" w:customStyle="1" w:styleId="TableText">
    <w:name w:val="Table Text"/>
    <w:basedOn w:val="Normal"/>
    <w:qFormat/>
    <w:rsid w:val="006C5C19"/>
    <w:pPr>
      <w:spacing w:before="60" w:beforeAutospacing="0" w:after="60" w:afterAutospacing="0"/>
    </w:pPr>
    <w:rPr>
      <w:sz w:val="20"/>
    </w:rPr>
  </w:style>
  <w:style w:type="paragraph" w:customStyle="1" w:styleId="TableHeading">
    <w:name w:val="Table Heading"/>
    <w:basedOn w:val="Normal"/>
    <w:rsid w:val="006C5C19"/>
    <w:pPr>
      <w:keepNext/>
      <w:spacing w:before="60" w:beforeAutospacing="0" w:after="60" w:afterAutospacing="0"/>
    </w:pPr>
    <w:rPr>
      <w:b/>
      <w:sz w:val="20"/>
    </w:rPr>
  </w:style>
  <w:style w:type="paragraph" w:styleId="ListBullet4">
    <w:name w:val="List Bullet 4"/>
    <w:basedOn w:val="Normal"/>
    <w:uiPriority w:val="99"/>
    <w:rsid w:val="006C5C19"/>
    <w:pPr>
      <w:numPr>
        <w:ilvl w:val="3"/>
        <w:numId w:val="2"/>
      </w:numPr>
      <w:spacing w:before="240" w:beforeAutospacing="0"/>
    </w:pPr>
  </w:style>
  <w:style w:type="paragraph" w:styleId="ListParagraph">
    <w:name w:val="List Paragraph"/>
    <w:basedOn w:val="Normal"/>
    <w:uiPriority w:val="34"/>
    <w:qFormat/>
    <w:rsid w:val="006C5C19"/>
    <w:pPr>
      <w:ind w:left="720"/>
      <w:contextualSpacing/>
    </w:pPr>
  </w:style>
  <w:style w:type="paragraph" w:styleId="Footer">
    <w:name w:val="footer"/>
    <w:basedOn w:val="Normal"/>
    <w:link w:val="FooterChar"/>
    <w:uiPriority w:val="99"/>
    <w:unhideWhenUsed/>
    <w:rsid w:val="006C5C19"/>
    <w:pPr>
      <w:tabs>
        <w:tab w:val="center" w:pos="4513"/>
        <w:tab w:val="right" w:pos="9026"/>
      </w:tabs>
      <w:spacing w:before="0" w:after="0"/>
    </w:pPr>
  </w:style>
  <w:style w:type="character" w:customStyle="1" w:styleId="FooterChar">
    <w:name w:val="Footer Char"/>
    <w:basedOn w:val="DefaultParagraphFont"/>
    <w:link w:val="Footer"/>
    <w:uiPriority w:val="99"/>
    <w:rsid w:val="006C5C19"/>
    <w:rPr>
      <w:rFonts w:ascii="Arial" w:eastAsia="Times New Roman" w:hAnsi="Arial"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Mannan</dc:creator>
  <cp:keywords/>
  <dc:description/>
  <cp:lastModifiedBy>Charles Mannan</cp:lastModifiedBy>
  <cp:revision>1</cp:revision>
  <dcterms:created xsi:type="dcterms:W3CDTF">2022-12-29T10:34:00Z</dcterms:created>
  <dcterms:modified xsi:type="dcterms:W3CDTF">2022-12-29T10:34:00Z</dcterms:modified>
</cp:coreProperties>
</file>